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FA9DD" w14:textId="77777777" w:rsidR="00B5684F" w:rsidRPr="004B3013" w:rsidRDefault="00B5684F" w:rsidP="00ED31E8">
      <w:pPr>
        <w:ind w:firstLine="709"/>
        <w:jc w:val="right"/>
        <w:rPr>
          <w:rFonts w:eastAsiaTheme="minorEastAsia"/>
          <w:color w:val="000000" w:themeColor="text1"/>
          <w:sz w:val="2"/>
          <w:szCs w:val="2"/>
          <w:lang w:val="ru-RU" w:eastAsia="en-US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D31E8" w:rsidRPr="00AE0F1E" w14:paraId="2BAFA9E9" w14:textId="77777777" w:rsidTr="00BE32D5">
        <w:trPr>
          <w:trHeight w:val="1528"/>
        </w:trPr>
        <w:tc>
          <w:tcPr>
            <w:tcW w:w="9356" w:type="dxa"/>
          </w:tcPr>
          <w:p w14:paraId="64292DEF" w14:textId="77777777" w:rsidR="008D6CD0" w:rsidRPr="00AE0F1E" w:rsidRDefault="008D6CD0" w:rsidP="008D6CD0">
            <w:pPr>
              <w:jc w:val="center"/>
              <w:rPr>
                <w:b/>
                <w:color w:val="000000"/>
              </w:rPr>
            </w:pPr>
            <w:r w:rsidRPr="00AE0F1E">
              <w:rPr>
                <w:b/>
                <w:color w:val="000000"/>
              </w:rPr>
              <w:t>Аналіз регуляторного впливу</w:t>
            </w:r>
          </w:p>
          <w:p w14:paraId="1AD41952" w14:textId="77777777" w:rsidR="008D6CD0" w:rsidRPr="00AE0F1E" w:rsidRDefault="008D6CD0" w:rsidP="008D6CD0">
            <w:pPr>
              <w:jc w:val="center"/>
              <w:rPr>
                <w:b/>
                <w:color w:val="000000"/>
              </w:rPr>
            </w:pPr>
            <w:r w:rsidRPr="00AE0F1E">
              <w:rPr>
                <w:b/>
                <w:color w:val="000000"/>
              </w:rPr>
              <w:t xml:space="preserve">проєкту постанови Правління Національного банку України </w:t>
            </w:r>
          </w:p>
          <w:p w14:paraId="2BAFA9E8" w14:textId="02440DDF" w:rsidR="00346C90" w:rsidRPr="00F10781" w:rsidRDefault="008D6CD0" w:rsidP="008D6CD0">
            <w:pPr>
              <w:ind w:right="41"/>
              <w:jc w:val="center"/>
              <w:rPr>
                <w:b/>
                <w:bCs/>
                <w:lang w:eastAsia="zh-CN"/>
              </w:rPr>
            </w:pPr>
            <w:r w:rsidRPr="00F10781">
              <w:rPr>
                <w:b/>
                <w:bCs/>
                <w:color w:val="000000"/>
              </w:rPr>
              <w:t>“</w:t>
            </w:r>
            <w:r w:rsidR="00F10781" w:rsidRPr="00F10781">
              <w:rPr>
                <w:b/>
                <w:bCs/>
              </w:rPr>
              <w:t>Про розміри страхових сум за договорами обов’язкового страхування цивільно-правової відповідальності власникі</w:t>
            </w:r>
            <w:r w:rsidR="008B3973">
              <w:rPr>
                <w:b/>
                <w:bCs/>
              </w:rPr>
              <w:t>в наземних транспортних засобів</w:t>
            </w:r>
            <w:r w:rsidRPr="00F10781">
              <w:rPr>
                <w:b/>
                <w:bCs/>
                <w:color w:val="000000"/>
              </w:rPr>
              <w:t>”</w:t>
            </w:r>
          </w:p>
        </w:tc>
      </w:tr>
    </w:tbl>
    <w:p w14:paraId="28934D39" w14:textId="77777777" w:rsidR="00BE32D5" w:rsidRPr="00AE0F1E" w:rsidRDefault="00BE32D5" w:rsidP="00655F4A">
      <w:pPr>
        <w:widowControl w:val="0"/>
        <w:ind w:firstLine="686"/>
        <w:rPr>
          <w:b/>
          <w:lang w:eastAsia="zh-CN"/>
        </w:rPr>
      </w:pPr>
    </w:p>
    <w:p w14:paraId="2830018A" w14:textId="2A0D017F" w:rsidR="00346C90" w:rsidRPr="00AE0F1E" w:rsidRDefault="00346C90" w:rsidP="00655F4A">
      <w:pPr>
        <w:widowControl w:val="0"/>
        <w:ind w:firstLine="686"/>
        <w:rPr>
          <w:b/>
          <w:lang w:eastAsia="zh-CN"/>
        </w:rPr>
      </w:pPr>
      <w:r w:rsidRPr="00AE0F1E">
        <w:rPr>
          <w:b/>
          <w:lang w:eastAsia="zh-CN"/>
        </w:rPr>
        <w:t>І. Визначення та аналіз проблеми, яку пропонується розв’язати шляхом державного регулювання</w:t>
      </w:r>
    </w:p>
    <w:p w14:paraId="54B7D682" w14:textId="0389E562" w:rsidR="00346C90" w:rsidRPr="00AE0F1E" w:rsidRDefault="00346C90" w:rsidP="00655F4A">
      <w:pPr>
        <w:widowControl w:val="0"/>
        <w:ind w:firstLine="686"/>
        <w:rPr>
          <w:rFonts w:eastAsia="Calibri"/>
          <w:lang w:eastAsia="en-US"/>
        </w:rPr>
      </w:pPr>
      <w:r w:rsidRPr="00AE0F1E">
        <w:rPr>
          <w:rFonts w:eastAsia="Calibri"/>
          <w:lang w:eastAsia="en-US"/>
        </w:rPr>
        <w:t xml:space="preserve">Національний банк України </w:t>
      </w:r>
      <w:r w:rsidR="008D3926" w:rsidRPr="008D3926">
        <w:rPr>
          <w:rFonts w:eastAsia="Calibri"/>
          <w:lang w:eastAsia="en-US"/>
        </w:rPr>
        <w:t>(далі – Національний банк)</w:t>
      </w:r>
      <w:r w:rsidR="008D3926">
        <w:rPr>
          <w:rFonts w:eastAsia="Calibri"/>
          <w:lang w:eastAsia="en-US"/>
        </w:rPr>
        <w:t xml:space="preserve"> </w:t>
      </w:r>
      <w:r w:rsidRPr="00AE0F1E">
        <w:rPr>
          <w:rFonts w:eastAsia="Calibri"/>
          <w:lang w:eastAsia="en-US"/>
        </w:rPr>
        <w:t>відповідно до пункту 8</w:t>
      </w:r>
      <w:r w:rsidRPr="00AE0F1E">
        <w:rPr>
          <w:rFonts w:eastAsia="Calibri"/>
          <w:vertAlign w:val="superscript"/>
          <w:lang w:eastAsia="en-US"/>
        </w:rPr>
        <w:t>1</w:t>
      </w:r>
      <w:r w:rsidRPr="00AE0F1E">
        <w:rPr>
          <w:rFonts w:eastAsia="Calibri"/>
          <w:lang w:eastAsia="en-US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</w:t>
      </w:r>
      <w:r w:rsidR="00A16E83" w:rsidRPr="00AE0F1E">
        <w:rPr>
          <w:rFonts w:eastAsia="Calibri"/>
          <w:lang w:eastAsia="en-US"/>
        </w:rPr>
        <w:t xml:space="preserve"> </w:t>
      </w:r>
      <w:r w:rsidRPr="00AE0F1E">
        <w:rPr>
          <w:rFonts w:eastAsia="Calibri"/>
          <w:lang w:eastAsia="en-US"/>
        </w:rPr>
        <w:t>Законом України “Про фінансові послуги та державне регулювання ринків фінансових послуг” та іншими законами України.</w:t>
      </w:r>
    </w:p>
    <w:p w14:paraId="4A927BA9" w14:textId="2D53F22C" w:rsidR="00F10781" w:rsidRPr="00F10781" w:rsidRDefault="008D3926" w:rsidP="00F10781">
      <w:pPr>
        <w:widowControl w:val="0"/>
        <w:ind w:firstLine="686"/>
        <w:rPr>
          <w:color w:val="000000"/>
          <w:lang w:eastAsia="ru-RU"/>
        </w:rPr>
      </w:pPr>
      <w:r>
        <w:rPr>
          <w:color w:val="000000"/>
          <w:lang w:eastAsia="ru-RU"/>
        </w:rPr>
        <w:t>У пункті</w:t>
      </w:r>
      <w:r w:rsidR="00F10781" w:rsidRPr="00F10781">
        <w:rPr>
          <w:color w:val="000000"/>
          <w:lang w:eastAsia="ru-RU"/>
        </w:rPr>
        <w:t xml:space="preserve"> 1.10 статті 1 Закону України </w:t>
      </w:r>
      <w:r w:rsidR="008B3973">
        <w:rPr>
          <w:color w:val="000000"/>
          <w:lang w:eastAsia="ru-RU"/>
        </w:rPr>
        <w:t>“</w:t>
      </w:r>
      <w:r w:rsidR="00F10781" w:rsidRPr="00F10781">
        <w:rPr>
          <w:color w:val="000000"/>
          <w:lang w:eastAsia="ru-RU"/>
        </w:rPr>
        <w:t>Про обов</w:t>
      </w:r>
      <w:r w:rsidR="008B3973">
        <w:rPr>
          <w:color w:val="000000"/>
          <w:lang w:eastAsia="ru-RU"/>
        </w:rPr>
        <w:t>’</w:t>
      </w:r>
      <w:r w:rsidR="00F10781" w:rsidRPr="00F10781">
        <w:rPr>
          <w:color w:val="000000"/>
          <w:lang w:eastAsia="ru-RU"/>
        </w:rPr>
        <w:t>язкове страхування цивільно-правової відповідальності власникі</w:t>
      </w:r>
      <w:r w:rsidR="008B3973">
        <w:rPr>
          <w:color w:val="000000"/>
          <w:lang w:eastAsia="ru-RU"/>
        </w:rPr>
        <w:t>в наземних транспортних засобів”</w:t>
      </w:r>
      <w:r w:rsidR="00F10781" w:rsidRPr="00F10781">
        <w:rPr>
          <w:color w:val="000000"/>
          <w:lang w:eastAsia="ru-RU"/>
        </w:rPr>
        <w:t xml:space="preserve"> (далі – Закон про ОСЦПВ) визначено, що Уповноваженим органом є Національний банк.</w:t>
      </w:r>
    </w:p>
    <w:p w14:paraId="3125449F" w14:textId="275C4322" w:rsidR="000829C1" w:rsidRDefault="00F10781" w:rsidP="000829C1">
      <w:pPr>
        <w:widowControl w:val="0"/>
        <w:ind w:firstLine="686"/>
        <w:rPr>
          <w:color w:val="000000"/>
          <w:lang w:eastAsia="ru-RU"/>
        </w:rPr>
      </w:pPr>
      <w:r w:rsidRPr="00F10781">
        <w:rPr>
          <w:color w:val="000000"/>
          <w:lang w:eastAsia="ru-RU"/>
        </w:rPr>
        <w:t xml:space="preserve">У пункті 9.5 статті 9 Закону про ОСЦПВ визначено, що </w:t>
      </w:r>
      <w:bookmarkStart w:id="0" w:name="_Hlk79667834"/>
      <w:r w:rsidRPr="00F10781">
        <w:rPr>
          <w:color w:val="000000"/>
          <w:lang w:eastAsia="ru-RU"/>
        </w:rPr>
        <w:t xml:space="preserve">розміри страхових сум </w:t>
      </w:r>
      <w:bookmarkEnd w:id="0"/>
      <w:r w:rsidRPr="00F10781">
        <w:rPr>
          <w:color w:val="000000"/>
          <w:lang w:eastAsia="ru-RU"/>
        </w:rPr>
        <w:t>переглядаються Уповноваженим органом відповідно до рівня інфляції та індексу споживчих цін.</w:t>
      </w:r>
    </w:p>
    <w:p w14:paraId="4A6EEB06" w14:textId="765AC8EB" w:rsidR="008B3973" w:rsidRPr="006C4E35" w:rsidRDefault="008B3973" w:rsidP="008B3973">
      <w:pPr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6C4E35">
        <w:rPr>
          <w:color w:val="000000"/>
          <w:lang w:eastAsia="ru-RU"/>
        </w:rPr>
        <w:t xml:space="preserve">а розрахунками Національного банку </w:t>
      </w:r>
      <w:r w:rsidR="008D3926">
        <w:rPr>
          <w:color w:val="000000"/>
          <w:lang w:eastAsia="ru-RU"/>
        </w:rPr>
        <w:t>є потреба</w:t>
      </w:r>
      <w:r w:rsidRPr="006C4E35">
        <w:rPr>
          <w:color w:val="000000"/>
          <w:lang w:eastAsia="ru-RU"/>
        </w:rPr>
        <w:t xml:space="preserve"> реалізації положень пункту 9.5 статті 9 Закону</w:t>
      </w:r>
      <w:r>
        <w:rPr>
          <w:color w:val="000000"/>
          <w:lang w:eastAsia="ru-RU"/>
        </w:rPr>
        <w:t xml:space="preserve"> </w:t>
      </w:r>
      <w:r w:rsidRPr="00F10781">
        <w:rPr>
          <w:color w:val="000000"/>
          <w:lang w:eastAsia="ru-RU"/>
        </w:rPr>
        <w:t>про ОСЦПВ</w:t>
      </w:r>
      <w:r>
        <w:rPr>
          <w:color w:val="000000"/>
          <w:lang w:eastAsia="ru-RU"/>
        </w:rPr>
        <w:t xml:space="preserve">, оскільки </w:t>
      </w:r>
      <w:r w:rsidR="008D3926">
        <w:rPr>
          <w:color w:val="000000"/>
          <w:lang w:eastAsia="ru-RU"/>
        </w:rPr>
        <w:t>під час</w:t>
      </w:r>
      <w:r w:rsidRPr="006C4E35">
        <w:rPr>
          <w:color w:val="000000"/>
          <w:lang w:eastAsia="ru-RU"/>
        </w:rPr>
        <w:t xml:space="preserve"> прийнятт</w:t>
      </w:r>
      <w:r w:rsidR="008D3926">
        <w:rPr>
          <w:color w:val="000000"/>
          <w:lang w:eastAsia="ru-RU"/>
        </w:rPr>
        <w:t xml:space="preserve">я </w:t>
      </w:r>
      <w:r>
        <w:rPr>
          <w:color w:val="000000"/>
          <w:lang w:eastAsia="ru-RU"/>
        </w:rPr>
        <w:t>р</w:t>
      </w:r>
      <w:r w:rsidRPr="006C4E35">
        <w:rPr>
          <w:color w:val="000000"/>
          <w:lang w:eastAsia="ru-RU"/>
        </w:rPr>
        <w:t>озпорядження</w:t>
      </w:r>
      <w:r>
        <w:rPr>
          <w:color w:val="000000"/>
          <w:lang w:eastAsia="ru-RU"/>
        </w:rPr>
        <w:t xml:space="preserve"> </w:t>
      </w:r>
      <w:r w:rsidRPr="006C4E35">
        <w:rPr>
          <w:color w:val="000000"/>
          <w:lang w:eastAsia="ru-RU"/>
        </w:rPr>
        <w:t>Нацкомфінпослуг від 09</w:t>
      </w:r>
      <w:r w:rsidR="000705B5">
        <w:rPr>
          <w:color w:val="000000"/>
          <w:lang w:eastAsia="ru-RU"/>
        </w:rPr>
        <w:t xml:space="preserve"> квітня </w:t>
      </w:r>
      <w:r w:rsidRPr="006C4E35">
        <w:rPr>
          <w:color w:val="000000"/>
          <w:lang w:eastAsia="ru-RU"/>
        </w:rPr>
        <w:t>2019</w:t>
      </w:r>
      <w:r w:rsidR="008D3926">
        <w:rPr>
          <w:color w:val="000000"/>
          <w:lang w:eastAsia="ru-RU"/>
        </w:rPr>
        <w:t xml:space="preserve"> року</w:t>
      </w:r>
      <w:r w:rsidRPr="006C4E35">
        <w:rPr>
          <w:color w:val="000000"/>
          <w:lang w:eastAsia="ru-RU"/>
        </w:rPr>
        <w:t xml:space="preserve"> № 538 “Про внесення змін до деяких нормативно-правових актів з питань обов’язкового страхування цивільно-правової відповідальності власників наземних транспортних засобів” (далі – розпорядження), </w:t>
      </w:r>
      <w:r w:rsidR="008D3926">
        <w:rPr>
          <w:color w:val="000000"/>
          <w:lang w:eastAsia="ru-RU"/>
        </w:rPr>
        <w:t>що</w:t>
      </w:r>
      <w:r w:rsidRPr="006C4E35">
        <w:rPr>
          <w:color w:val="000000"/>
          <w:lang w:eastAsia="ru-RU"/>
        </w:rPr>
        <w:t xml:space="preserve"> набрало чинності 21</w:t>
      </w:r>
      <w:r w:rsidR="000705B5">
        <w:rPr>
          <w:color w:val="000000"/>
          <w:lang w:eastAsia="ru-RU"/>
        </w:rPr>
        <w:t xml:space="preserve"> вересня </w:t>
      </w:r>
      <w:r w:rsidRPr="006C4E35">
        <w:rPr>
          <w:color w:val="000000"/>
          <w:lang w:eastAsia="ru-RU"/>
        </w:rPr>
        <w:t>2019</w:t>
      </w:r>
      <w:r w:rsidR="008D3926">
        <w:rPr>
          <w:color w:val="000000"/>
          <w:lang w:eastAsia="ru-RU"/>
        </w:rPr>
        <w:t xml:space="preserve"> року</w:t>
      </w:r>
      <w:r w:rsidRPr="006C4E35">
        <w:rPr>
          <w:color w:val="000000"/>
          <w:lang w:eastAsia="ru-RU"/>
        </w:rPr>
        <w:t>, встановлено страхові суми за договорами обов’язкового страхування цивільно-правової відповідальності власників наземних транспортних засобів: за шкоду, заподіяну майну потерпілих, у розмірі 130 </w:t>
      </w:r>
      <w:r>
        <w:rPr>
          <w:color w:val="000000"/>
          <w:lang w:eastAsia="ru-RU"/>
        </w:rPr>
        <w:t>000</w:t>
      </w:r>
      <w:r w:rsidRPr="006C4E35">
        <w:rPr>
          <w:color w:val="000000"/>
          <w:lang w:eastAsia="ru-RU"/>
        </w:rPr>
        <w:t xml:space="preserve"> гривень на одного потерпілого; за шкоду, заподіяну життю та здоров’ю потерпілих, у розмірі 260</w:t>
      </w:r>
      <w:r w:rsidR="005E3EF9">
        <w:rPr>
          <w:color w:val="000000"/>
          <w:lang w:eastAsia="ru-RU"/>
        </w:rPr>
        <w:t xml:space="preserve"> 000 </w:t>
      </w:r>
      <w:r w:rsidRPr="006C4E35">
        <w:rPr>
          <w:color w:val="000000"/>
          <w:lang w:eastAsia="ru-RU"/>
        </w:rPr>
        <w:t>гривень на одного потерпілого.</w:t>
      </w:r>
    </w:p>
    <w:p w14:paraId="1C3B1F66" w14:textId="488D3800" w:rsidR="008B3973" w:rsidRPr="006C4E35" w:rsidRDefault="008B3973" w:rsidP="008B3973">
      <w:pPr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О</w:t>
      </w:r>
      <w:r w:rsidRPr="006C4E35">
        <w:rPr>
          <w:color w:val="000000"/>
          <w:lang w:eastAsia="ru-RU"/>
        </w:rPr>
        <w:t>станнім періодом для розрахунку страхових сум відповідно до рівня інфляції та індексу споживчих цін визначено серпень 2018 року.</w:t>
      </w:r>
    </w:p>
    <w:p w14:paraId="23304AD9" w14:textId="66B0AB34" w:rsidR="008B3973" w:rsidRPr="006C4E35" w:rsidRDefault="00B14122" w:rsidP="008B3973">
      <w:pPr>
        <w:ind w:firstLine="709"/>
        <w:rPr>
          <w:color w:val="000000"/>
          <w:lang w:eastAsia="ru-RU"/>
        </w:rPr>
      </w:pPr>
      <w:r w:rsidRPr="0083400B">
        <w:rPr>
          <w:color w:val="000000"/>
          <w:lang w:eastAsia="ru-RU"/>
        </w:rPr>
        <w:t>У</w:t>
      </w:r>
      <w:r w:rsidR="008B3973" w:rsidRPr="006C4E35">
        <w:rPr>
          <w:color w:val="000000"/>
          <w:lang w:eastAsia="ru-RU"/>
        </w:rPr>
        <w:t xml:space="preserve">раховуючи те, що кумулятивний показник рівня інфляції підвищився на 22,81% за період з серпня 2018 року до травня 2021 року, </w:t>
      </w:r>
      <w:r>
        <w:rPr>
          <w:color w:val="000000"/>
          <w:lang w:eastAsia="ru-RU"/>
        </w:rPr>
        <w:t xml:space="preserve">є потреба </w:t>
      </w:r>
      <w:r w:rsidR="008B3973" w:rsidRPr="006C4E35">
        <w:rPr>
          <w:color w:val="000000"/>
          <w:lang w:eastAsia="ru-RU"/>
        </w:rPr>
        <w:t>перегляду та підвищення страхових сум за договорами обов’язкового страхування цивільно-правової відповідальності власників наземних транспортних засобів.</w:t>
      </w:r>
    </w:p>
    <w:p w14:paraId="0C00D99D" w14:textId="77FC4850" w:rsidR="00EE6818" w:rsidRPr="000829C1" w:rsidRDefault="00574496" w:rsidP="000829C1">
      <w:pPr>
        <w:widowControl w:val="0"/>
        <w:ind w:firstLine="686"/>
        <w:rPr>
          <w:color w:val="000000"/>
          <w:lang w:eastAsia="ru-RU"/>
        </w:rPr>
      </w:pPr>
      <w:r w:rsidRPr="00574496">
        <w:rPr>
          <w:color w:val="000000"/>
          <w:lang w:eastAsia="ru-RU"/>
        </w:rPr>
        <w:lastRenderedPageBreak/>
        <w:t>Керуючись</w:t>
      </w:r>
      <w:r w:rsidR="00EE6818">
        <w:rPr>
          <w:color w:val="000000"/>
          <w:lang w:eastAsia="ru-RU"/>
        </w:rPr>
        <w:t xml:space="preserve"> положення</w:t>
      </w:r>
      <w:r>
        <w:rPr>
          <w:color w:val="000000"/>
          <w:lang w:val="ru-RU" w:eastAsia="ru-RU"/>
        </w:rPr>
        <w:t>ми</w:t>
      </w:r>
      <w:r w:rsidR="00EE6818">
        <w:rPr>
          <w:color w:val="000000"/>
          <w:lang w:eastAsia="ru-RU"/>
        </w:rPr>
        <w:t xml:space="preserve"> </w:t>
      </w:r>
      <w:r w:rsidR="00EE6818" w:rsidRPr="00EE6818">
        <w:rPr>
          <w:color w:val="000000"/>
          <w:lang w:eastAsia="ru-RU"/>
        </w:rPr>
        <w:t>пункт</w:t>
      </w:r>
      <w:r w:rsidR="00EE6818">
        <w:rPr>
          <w:color w:val="000000"/>
          <w:lang w:eastAsia="ru-RU"/>
        </w:rPr>
        <w:t>у</w:t>
      </w:r>
      <w:r w:rsidR="00EE6818" w:rsidRPr="00EE6818">
        <w:rPr>
          <w:color w:val="000000"/>
          <w:lang w:eastAsia="ru-RU"/>
        </w:rPr>
        <w:t xml:space="preserve"> 9.5 статті 9 Закону про ОСЦПВ, </w:t>
      </w:r>
      <w:r w:rsidR="00B14122">
        <w:rPr>
          <w:color w:val="000000"/>
          <w:lang w:eastAsia="ru-RU"/>
        </w:rPr>
        <w:t>потрібно</w:t>
      </w:r>
      <w:r w:rsidR="00EE6818" w:rsidRPr="00EE6818">
        <w:rPr>
          <w:color w:val="000000"/>
          <w:lang w:eastAsia="ru-RU"/>
        </w:rPr>
        <w:t xml:space="preserve"> затвердити</w:t>
      </w:r>
      <w:r w:rsidR="00EE6818">
        <w:rPr>
          <w:color w:val="000000"/>
          <w:lang w:eastAsia="ru-RU"/>
        </w:rPr>
        <w:t xml:space="preserve"> </w:t>
      </w:r>
      <w:r w:rsidR="00EE6818" w:rsidRPr="00EE6818">
        <w:rPr>
          <w:color w:val="000000"/>
          <w:lang w:eastAsia="ru-RU"/>
        </w:rPr>
        <w:t>розміри страхових сум за договорами обов’язкового страхування цивільно-правової відповідальності власників наземних транспортних засобів</w:t>
      </w:r>
      <w:r w:rsidR="00EE6818">
        <w:rPr>
          <w:color w:val="000000"/>
          <w:lang w:eastAsia="ru-RU"/>
        </w:rPr>
        <w:t xml:space="preserve"> </w:t>
      </w:r>
      <w:r w:rsidR="00EE6818" w:rsidRPr="00EE6818">
        <w:rPr>
          <w:color w:val="000000"/>
          <w:lang w:eastAsia="ru-RU"/>
        </w:rPr>
        <w:t>відповідним нормативно-правовим актом Національного банку.</w:t>
      </w:r>
    </w:p>
    <w:p w14:paraId="3D4F6CC5" w14:textId="38BA2D7F" w:rsidR="000829C1" w:rsidRPr="000829C1" w:rsidRDefault="00574496" w:rsidP="000829C1">
      <w:pPr>
        <w:widowControl w:val="0"/>
        <w:ind w:firstLine="686"/>
        <w:rPr>
          <w:color w:val="000000"/>
          <w:lang w:eastAsia="ru-RU"/>
        </w:rPr>
      </w:pPr>
      <w:r>
        <w:rPr>
          <w:color w:val="000000"/>
          <w:lang w:val="ru-RU" w:eastAsia="ru-RU"/>
        </w:rPr>
        <w:t>П</w:t>
      </w:r>
      <w:r w:rsidR="005E3EF9">
        <w:rPr>
          <w:color w:val="000000"/>
          <w:lang w:eastAsia="ru-RU"/>
        </w:rPr>
        <w:t>роє</w:t>
      </w:r>
      <w:r w:rsidR="000829C1" w:rsidRPr="000829C1">
        <w:rPr>
          <w:color w:val="000000"/>
          <w:lang w:eastAsia="ru-RU"/>
        </w:rPr>
        <w:t xml:space="preserve">ктом </w:t>
      </w:r>
      <w:r w:rsidR="00280DE5">
        <w:rPr>
          <w:color w:val="000000"/>
          <w:lang w:val="ru-RU" w:eastAsia="ru-RU"/>
        </w:rPr>
        <w:t xml:space="preserve">регуляторного </w:t>
      </w:r>
      <w:r w:rsidR="00EE6818">
        <w:rPr>
          <w:color w:val="000000"/>
          <w:lang w:eastAsia="ru-RU"/>
        </w:rPr>
        <w:t>акт</w:t>
      </w:r>
      <w:r w:rsidR="00343A60">
        <w:rPr>
          <w:color w:val="000000"/>
          <w:lang w:val="ru-RU" w:eastAsia="ru-RU"/>
        </w:rPr>
        <w:t>а</w:t>
      </w:r>
      <w:r w:rsidR="00EE6818">
        <w:rPr>
          <w:color w:val="000000"/>
          <w:lang w:eastAsia="ru-RU"/>
        </w:rPr>
        <w:t xml:space="preserve"> </w:t>
      </w:r>
      <w:r w:rsidR="000829C1" w:rsidRPr="000829C1">
        <w:rPr>
          <w:color w:val="000000"/>
          <w:lang w:eastAsia="ru-RU"/>
        </w:rPr>
        <w:t>пропонується підвищити розміри страхових сум за договорами обов</w:t>
      </w:r>
      <w:r w:rsidR="005E3EF9">
        <w:rPr>
          <w:color w:val="000000"/>
          <w:lang w:eastAsia="ru-RU"/>
        </w:rPr>
        <w:t>’</w:t>
      </w:r>
      <w:r w:rsidR="000829C1" w:rsidRPr="000829C1">
        <w:rPr>
          <w:color w:val="000000"/>
          <w:lang w:eastAsia="ru-RU"/>
        </w:rPr>
        <w:t>язкового страхування цивільно-правової відповідальності власників наземних транспортних засобів, встановивши їх на рівні</w:t>
      </w:r>
      <w:r w:rsidR="005E3EF9">
        <w:rPr>
          <w:color w:val="000000"/>
          <w:lang w:eastAsia="ru-RU"/>
        </w:rPr>
        <w:t xml:space="preserve"> </w:t>
      </w:r>
      <w:r w:rsidR="00C24D5C" w:rsidRPr="00C24D5C">
        <w:rPr>
          <w:color w:val="000000"/>
          <w:lang w:eastAsia="ru-RU"/>
        </w:rPr>
        <w:t>160</w:t>
      </w:r>
      <w:r w:rsidR="005E3EF9">
        <w:rPr>
          <w:color w:val="000000"/>
          <w:lang w:eastAsia="ru-RU"/>
        </w:rPr>
        <w:t> </w:t>
      </w:r>
      <w:r w:rsidR="00C24D5C" w:rsidRPr="00C24D5C">
        <w:rPr>
          <w:color w:val="000000"/>
          <w:lang w:eastAsia="ru-RU"/>
        </w:rPr>
        <w:t>000</w:t>
      </w:r>
      <w:r w:rsidR="005E3EF9">
        <w:rPr>
          <w:color w:val="000000"/>
          <w:lang w:eastAsia="ru-RU"/>
        </w:rPr>
        <w:t xml:space="preserve"> </w:t>
      </w:r>
      <w:r w:rsidR="000829C1" w:rsidRPr="000829C1">
        <w:rPr>
          <w:color w:val="000000"/>
          <w:lang w:eastAsia="ru-RU"/>
        </w:rPr>
        <w:t xml:space="preserve">гривень на одного потерпілого за шкоду, заподіяну майну потерпілих, та </w:t>
      </w:r>
      <w:r w:rsidR="00C24D5C">
        <w:rPr>
          <w:color w:val="000000"/>
          <w:lang w:eastAsia="ru-RU"/>
        </w:rPr>
        <w:t>32</w:t>
      </w:r>
      <w:r w:rsidR="000829C1" w:rsidRPr="000829C1">
        <w:rPr>
          <w:color w:val="000000"/>
          <w:lang w:eastAsia="ru-RU"/>
        </w:rPr>
        <w:t>0</w:t>
      </w:r>
      <w:r w:rsidR="005E3EF9">
        <w:rPr>
          <w:color w:val="000000"/>
          <w:lang w:eastAsia="ru-RU"/>
        </w:rPr>
        <w:t xml:space="preserve"> </w:t>
      </w:r>
      <w:r w:rsidR="000829C1" w:rsidRPr="000829C1">
        <w:rPr>
          <w:color w:val="000000"/>
          <w:lang w:eastAsia="ru-RU"/>
        </w:rPr>
        <w:t>000 гривень на одного потерпілого за шкоду, заподіяну життю та здоров</w:t>
      </w:r>
      <w:r w:rsidR="005E3EF9">
        <w:rPr>
          <w:color w:val="000000"/>
          <w:lang w:eastAsia="ru-RU"/>
        </w:rPr>
        <w:t>’</w:t>
      </w:r>
      <w:r w:rsidR="000829C1" w:rsidRPr="000829C1">
        <w:rPr>
          <w:color w:val="000000"/>
          <w:lang w:eastAsia="ru-RU"/>
        </w:rPr>
        <w:t xml:space="preserve">ю потерпілих.  </w:t>
      </w:r>
    </w:p>
    <w:p w14:paraId="3F1F5CAB" w14:textId="6E4FA6C3" w:rsidR="000829C1" w:rsidRDefault="000829C1" w:rsidP="000829C1">
      <w:pPr>
        <w:widowControl w:val="0"/>
        <w:ind w:firstLine="686"/>
        <w:rPr>
          <w:color w:val="000000"/>
          <w:lang w:eastAsia="ru-RU"/>
        </w:rPr>
      </w:pPr>
      <w:r w:rsidRPr="000829C1">
        <w:rPr>
          <w:color w:val="000000"/>
          <w:lang w:eastAsia="ru-RU"/>
        </w:rPr>
        <w:t xml:space="preserve">Крім того, рішення щодо підвищення розміру страхових сум </w:t>
      </w:r>
      <w:bookmarkStart w:id="1" w:name="_Hlk79668878"/>
      <w:r w:rsidR="00574496">
        <w:rPr>
          <w:color w:val="000000"/>
          <w:lang w:eastAsia="ru-RU"/>
        </w:rPr>
        <w:t xml:space="preserve">відповідатиме </w:t>
      </w:r>
      <w:r w:rsidRPr="000829C1">
        <w:rPr>
          <w:color w:val="000000"/>
          <w:lang w:eastAsia="ru-RU"/>
        </w:rPr>
        <w:t>поступово</w:t>
      </w:r>
      <w:r w:rsidR="00574496">
        <w:rPr>
          <w:color w:val="000000"/>
          <w:lang w:eastAsia="ru-RU"/>
        </w:rPr>
        <w:t>му</w:t>
      </w:r>
      <w:r w:rsidRPr="000829C1">
        <w:rPr>
          <w:color w:val="000000"/>
          <w:lang w:eastAsia="ru-RU"/>
        </w:rPr>
        <w:t xml:space="preserve"> наближенн</w:t>
      </w:r>
      <w:r w:rsidR="00574496">
        <w:rPr>
          <w:color w:val="000000"/>
          <w:lang w:eastAsia="ru-RU"/>
        </w:rPr>
        <w:t>ю</w:t>
      </w:r>
      <w:r w:rsidRPr="000829C1">
        <w:rPr>
          <w:color w:val="000000"/>
          <w:lang w:eastAsia="ru-RU"/>
        </w:rPr>
        <w:t xml:space="preserve"> вітчизняного законодавства у сфері обов</w:t>
      </w:r>
      <w:r w:rsidR="005E3EF9">
        <w:rPr>
          <w:color w:val="000000"/>
          <w:lang w:eastAsia="ru-RU"/>
        </w:rPr>
        <w:t>’</w:t>
      </w:r>
      <w:r w:rsidRPr="000829C1">
        <w:rPr>
          <w:color w:val="000000"/>
          <w:lang w:eastAsia="ru-RU"/>
        </w:rPr>
        <w:t xml:space="preserve">язкового страхування цивільно-правової відповідальності власників наземних транспортних засобів до </w:t>
      </w:r>
      <w:bookmarkEnd w:id="1"/>
      <w:r w:rsidRPr="000829C1">
        <w:rPr>
          <w:color w:val="000000"/>
          <w:lang w:eastAsia="ru-RU"/>
        </w:rPr>
        <w:t>положень Директиви № 2009/103/ЄС Європейського Парламенту та Ради від 16 вересня 2009 року</w:t>
      </w:r>
      <w:r w:rsidR="00A74D37">
        <w:rPr>
          <w:color w:val="000000"/>
          <w:lang w:eastAsia="ru-RU"/>
        </w:rPr>
        <w:t xml:space="preserve"> </w:t>
      </w:r>
      <w:r w:rsidR="0083400B">
        <w:rPr>
          <w:color w:val="000000"/>
          <w:lang w:eastAsia="ru-RU"/>
        </w:rPr>
        <w:t>про</w:t>
      </w:r>
      <w:r w:rsidRPr="000829C1">
        <w:rPr>
          <w:color w:val="000000"/>
          <w:lang w:eastAsia="ru-RU"/>
        </w:rPr>
        <w:t xml:space="preserve"> страхування цивільної відповідальності </w:t>
      </w:r>
      <w:r w:rsidR="00A74D37">
        <w:rPr>
          <w:color w:val="000000"/>
          <w:lang w:eastAsia="ru-RU"/>
        </w:rPr>
        <w:t>щодо</w:t>
      </w:r>
      <w:r w:rsidRPr="000829C1">
        <w:rPr>
          <w:color w:val="000000"/>
          <w:lang w:eastAsia="ru-RU"/>
        </w:rPr>
        <w:t xml:space="preserve"> використання автотранспортних засобів.</w:t>
      </w:r>
    </w:p>
    <w:p w14:paraId="39B58C84" w14:textId="2EB7B5B9" w:rsidR="002A6C44" w:rsidRPr="00AE0F1E" w:rsidRDefault="002A6C44" w:rsidP="002A6C44">
      <w:pPr>
        <w:widowControl w:val="0"/>
        <w:ind w:firstLine="686"/>
        <w:rPr>
          <w:rFonts w:eastAsia="Calibri"/>
          <w:lang w:eastAsia="en-US"/>
        </w:rPr>
      </w:pPr>
      <w:r w:rsidRPr="00AE0F1E">
        <w:rPr>
          <w:rFonts w:eastAsia="Calibri"/>
          <w:lang w:eastAsia="en-US"/>
        </w:rPr>
        <w:t xml:space="preserve">Отже, </w:t>
      </w:r>
      <w:r w:rsidR="00A74D37">
        <w:rPr>
          <w:rFonts w:eastAsia="Calibri"/>
          <w:lang w:eastAsia="en-US"/>
        </w:rPr>
        <w:t>є</w:t>
      </w:r>
      <w:r w:rsidRPr="00AE0F1E">
        <w:rPr>
          <w:rFonts w:eastAsia="Calibri"/>
          <w:lang w:eastAsia="en-US"/>
        </w:rPr>
        <w:t xml:space="preserve"> потреба </w:t>
      </w:r>
      <w:r w:rsidR="006704BE">
        <w:rPr>
          <w:rFonts w:eastAsia="Calibri"/>
          <w:lang w:eastAsia="en-US"/>
        </w:rPr>
        <w:t>у</w:t>
      </w:r>
      <w:r w:rsidRPr="00AE0F1E">
        <w:rPr>
          <w:rFonts w:eastAsia="Calibri"/>
          <w:lang w:eastAsia="en-US"/>
        </w:rPr>
        <w:t xml:space="preserve"> </w:t>
      </w:r>
      <w:r w:rsidR="006704BE">
        <w:rPr>
          <w:rFonts w:eastAsia="Calibri"/>
          <w:lang w:eastAsia="en-US"/>
        </w:rPr>
        <w:t>в</w:t>
      </w:r>
      <w:r w:rsidRPr="00AE0F1E">
        <w:rPr>
          <w:rFonts w:eastAsia="Calibri"/>
          <w:lang w:eastAsia="en-US"/>
        </w:rPr>
        <w:t xml:space="preserve">регулюванні вищезазначених проблем та затвердженні відповідного </w:t>
      </w:r>
      <w:r w:rsidR="00963A94">
        <w:rPr>
          <w:rFonts w:eastAsia="Calibri"/>
          <w:lang w:eastAsia="en-US"/>
        </w:rPr>
        <w:t>регуляторного акта</w:t>
      </w:r>
      <w:r w:rsidRPr="00AE0F1E">
        <w:rPr>
          <w:rFonts w:eastAsia="Calibri"/>
          <w:lang w:eastAsia="en-US"/>
        </w:rPr>
        <w:t>.</w:t>
      </w:r>
    </w:p>
    <w:p w14:paraId="04DC6DFC" w14:textId="58896A3F" w:rsidR="002A6C44" w:rsidRPr="00AE0F1E" w:rsidRDefault="002A6C44" w:rsidP="002A6C44">
      <w:pPr>
        <w:widowControl w:val="0"/>
        <w:shd w:val="clear" w:color="auto" w:fill="FFFFFF"/>
        <w:ind w:firstLine="686"/>
        <w:rPr>
          <w:lang w:eastAsia="zh-CN"/>
        </w:rPr>
      </w:pPr>
      <w:r w:rsidRPr="00AE0F1E">
        <w:rPr>
          <w:lang w:eastAsia="zh-CN"/>
        </w:rPr>
        <w:t xml:space="preserve">Суб’єктами, на яких поширюється дія регуляторного акта, є </w:t>
      </w:r>
      <w:r w:rsidRPr="00AE0F1E">
        <w:rPr>
          <w:color w:val="000000" w:themeColor="text1"/>
        </w:rPr>
        <w:t>страховики</w:t>
      </w:r>
      <w:r>
        <w:rPr>
          <w:color w:val="000000" w:themeColor="text1"/>
        </w:rPr>
        <w:t xml:space="preserve">, </w:t>
      </w:r>
      <w:r>
        <w:rPr>
          <w:lang w:eastAsia="ru-RU"/>
        </w:rPr>
        <w:t>які отримали ліцензію на обов</w:t>
      </w:r>
      <w:r w:rsidR="006704BE">
        <w:rPr>
          <w:lang w:eastAsia="ru-RU"/>
        </w:rPr>
        <w:t>’</w:t>
      </w:r>
      <w:r>
        <w:rPr>
          <w:lang w:eastAsia="ru-RU"/>
        </w:rPr>
        <w:t>язкове страхування цивільно-правової відповідальності власників наземних транспортних засобів</w:t>
      </w:r>
      <w:r w:rsidRPr="00AE0F1E">
        <w:rPr>
          <w:lang w:eastAsia="zh-CN"/>
        </w:rPr>
        <w:t xml:space="preserve">. </w:t>
      </w:r>
      <w:r w:rsidRPr="003A5833">
        <w:rPr>
          <w:lang w:eastAsia="zh-CN"/>
        </w:rPr>
        <w:t xml:space="preserve">Проблема, яку пропонується розв’язати шляхом державного регулювання, </w:t>
      </w:r>
      <w:r w:rsidRPr="00626E5C">
        <w:rPr>
          <w:lang w:eastAsia="zh-CN"/>
        </w:rPr>
        <w:t xml:space="preserve">має </w:t>
      </w:r>
      <w:r w:rsidRPr="003A5833">
        <w:rPr>
          <w:lang w:eastAsia="zh-CN"/>
        </w:rPr>
        <w:t>негативн</w:t>
      </w:r>
      <w:r w:rsidRPr="00626E5C">
        <w:rPr>
          <w:lang w:eastAsia="zh-CN"/>
        </w:rPr>
        <w:t>ий</w:t>
      </w:r>
      <w:r w:rsidRPr="003A5833">
        <w:rPr>
          <w:lang w:eastAsia="zh-CN"/>
        </w:rPr>
        <w:t xml:space="preserve"> вплив на діяльність страховиків.</w:t>
      </w:r>
    </w:p>
    <w:p w14:paraId="177421B5" w14:textId="2B8C1F9F" w:rsidR="002A6C44" w:rsidRPr="00AE0F1E" w:rsidRDefault="002A6C44" w:rsidP="002A6C44">
      <w:pPr>
        <w:widowControl w:val="0"/>
        <w:shd w:val="clear" w:color="auto" w:fill="FFFFFF"/>
        <w:ind w:firstLine="686"/>
        <w:rPr>
          <w:lang w:eastAsia="zh-CN"/>
        </w:rPr>
      </w:pPr>
      <w:r w:rsidRPr="00AE0F1E">
        <w:rPr>
          <w:rFonts w:eastAsia="Calibri"/>
          <w:lang w:eastAsia="en-US"/>
        </w:rPr>
        <w:t>Зазначене питання не може виріш</w:t>
      </w:r>
      <w:r w:rsidR="00A74D37">
        <w:rPr>
          <w:rFonts w:eastAsia="Calibri"/>
          <w:lang w:eastAsia="en-US"/>
        </w:rPr>
        <w:t>уватися</w:t>
      </w:r>
      <w:r w:rsidRPr="00AE0F1E">
        <w:rPr>
          <w:rFonts w:eastAsia="Calibri"/>
          <w:lang w:eastAsia="en-US"/>
        </w:rPr>
        <w:t xml:space="preserve"> за допомогою ринкових механізмів, оскільки воно стосується реалізації повноважень Національного банку, визначених Законом про </w:t>
      </w:r>
      <w:r w:rsidRPr="00F10781">
        <w:rPr>
          <w:color w:val="000000"/>
          <w:lang w:eastAsia="ru-RU"/>
        </w:rPr>
        <w:t>ОСЦПВ</w:t>
      </w:r>
      <w:r w:rsidRPr="00AE0F1E">
        <w:rPr>
          <w:rFonts w:eastAsia="Calibri"/>
          <w:lang w:eastAsia="en-US"/>
        </w:rPr>
        <w:t>.</w:t>
      </w:r>
    </w:p>
    <w:p w14:paraId="1FCDDCD8" w14:textId="77777777" w:rsidR="002A6C44" w:rsidRDefault="002A6C44" w:rsidP="000829C1">
      <w:pPr>
        <w:widowControl w:val="0"/>
        <w:ind w:firstLine="686"/>
        <w:rPr>
          <w:color w:val="000000"/>
          <w:lang w:eastAsia="ru-RU"/>
        </w:rPr>
      </w:pPr>
    </w:p>
    <w:p w14:paraId="73055F37" w14:textId="77777777" w:rsidR="00346C90" w:rsidRPr="00AE0F1E" w:rsidRDefault="00346C90" w:rsidP="00655F4A">
      <w:pPr>
        <w:widowControl w:val="0"/>
        <w:ind w:firstLine="686"/>
        <w:rPr>
          <w:b/>
          <w:lang w:eastAsia="zh-CN"/>
        </w:rPr>
      </w:pPr>
      <w:r w:rsidRPr="00AE0F1E">
        <w:rPr>
          <w:b/>
          <w:lang w:eastAsia="zh-CN"/>
        </w:rPr>
        <w:t xml:space="preserve">ІІ. Визначення цілей державного регулювання </w:t>
      </w:r>
    </w:p>
    <w:p w14:paraId="3A65CDA3" w14:textId="7E4669D2" w:rsidR="00C24D5C" w:rsidRDefault="00C24D5C" w:rsidP="00655F4A">
      <w:pPr>
        <w:widowControl w:val="0"/>
        <w:ind w:firstLine="686"/>
        <w:rPr>
          <w:lang w:eastAsia="ru-RU"/>
        </w:rPr>
      </w:pPr>
      <w:r w:rsidRPr="00C24D5C">
        <w:rPr>
          <w:lang w:eastAsia="ru-RU"/>
        </w:rPr>
        <w:t xml:space="preserve">Регуляторний акт розроблено з метою виконання </w:t>
      </w:r>
      <w:bookmarkStart w:id="2" w:name="_Hlk79668613"/>
      <w:r w:rsidR="006704BE">
        <w:rPr>
          <w:lang w:eastAsia="ru-RU"/>
        </w:rPr>
        <w:t>вимог пункту 9.5 статті </w:t>
      </w:r>
      <w:r w:rsidRPr="00C24D5C">
        <w:rPr>
          <w:lang w:eastAsia="ru-RU"/>
        </w:rPr>
        <w:t xml:space="preserve">9 Закону </w:t>
      </w:r>
      <w:bookmarkEnd w:id="2"/>
      <w:r w:rsidR="00280DE5" w:rsidRPr="0083400B">
        <w:rPr>
          <w:lang w:eastAsia="ru-RU"/>
        </w:rPr>
        <w:t xml:space="preserve">про ОСЦПВ </w:t>
      </w:r>
      <w:r w:rsidR="00CA778D">
        <w:rPr>
          <w:lang w:eastAsia="ru-RU"/>
        </w:rPr>
        <w:t xml:space="preserve">та </w:t>
      </w:r>
      <w:r w:rsidR="00A86EAF" w:rsidRPr="00A86EAF">
        <w:rPr>
          <w:lang w:eastAsia="ru-RU"/>
        </w:rPr>
        <w:t>поступово</w:t>
      </w:r>
      <w:r w:rsidR="00574496">
        <w:rPr>
          <w:lang w:eastAsia="ru-RU"/>
        </w:rPr>
        <w:t>му</w:t>
      </w:r>
      <w:r w:rsidR="00A86EAF" w:rsidRPr="00A86EAF">
        <w:rPr>
          <w:lang w:eastAsia="ru-RU"/>
        </w:rPr>
        <w:t xml:space="preserve"> наближенн</w:t>
      </w:r>
      <w:r w:rsidR="00574496">
        <w:rPr>
          <w:lang w:eastAsia="ru-RU"/>
        </w:rPr>
        <w:t>ю</w:t>
      </w:r>
      <w:r w:rsidR="00A86EAF" w:rsidRPr="00A86EAF">
        <w:rPr>
          <w:lang w:eastAsia="ru-RU"/>
        </w:rPr>
        <w:t xml:space="preserve"> вітчизняного законодавства у сфері обов</w:t>
      </w:r>
      <w:r w:rsidR="006704BE">
        <w:rPr>
          <w:lang w:eastAsia="ru-RU"/>
        </w:rPr>
        <w:t>’</w:t>
      </w:r>
      <w:r w:rsidR="00A86EAF" w:rsidRPr="00A86EAF">
        <w:rPr>
          <w:lang w:eastAsia="ru-RU"/>
        </w:rPr>
        <w:t xml:space="preserve">язкового страхування цивільно-правової відповідальності власників наземних транспортних засобів до </w:t>
      </w:r>
      <w:r w:rsidRPr="00C24D5C">
        <w:rPr>
          <w:lang w:eastAsia="ru-RU"/>
        </w:rPr>
        <w:t>положень Директиви № 2009/103/ЄС Європейського Парламенту та Ради від 16 вересня 2009 року</w:t>
      </w:r>
      <w:r w:rsidR="0083400B">
        <w:rPr>
          <w:lang w:eastAsia="ru-RU"/>
        </w:rPr>
        <w:t xml:space="preserve"> про</w:t>
      </w:r>
      <w:r w:rsidRPr="00C24D5C">
        <w:rPr>
          <w:lang w:eastAsia="ru-RU"/>
        </w:rPr>
        <w:t xml:space="preserve"> страхування цивільної відповідальності </w:t>
      </w:r>
      <w:r w:rsidR="00A74D37">
        <w:rPr>
          <w:lang w:eastAsia="ru-RU"/>
        </w:rPr>
        <w:t xml:space="preserve">щодо </w:t>
      </w:r>
      <w:r w:rsidRPr="00C24D5C">
        <w:rPr>
          <w:lang w:eastAsia="ru-RU"/>
        </w:rPr>
        <w:t>використання автотранспортних засобів.</w:t>
      </w:r>
    </w:p>
    <w:p w14:paraId="771F9719" w14:textId="77777777" w:rsidR="00C24D5C" w:rsidRDefault="00C24D5C" w:rsidP="00655F4A">
      <w:pPr>
        <w:widowControl w:val="0"/>
        <w:ind w:firstLine="686"/>
        <w:rPr>
          <w:lang w:eastAsia="ru-RU"/>
        </w:rPr>
      </w:pPr>
    </w:p>
    <w:p w14:paraId="1BC9F93C" w14:textId="6E8ECB71" w:rsidR="00346C90" w:rsidRPr="00AE0F1E" w:rsidRDefault="00346C90" w:rsidP="00655F4A">
      <w:pPr>
        <w:widowControl w:val="0"/>
        <w:ind w:firstLine="686"/>
        <w:rPr>
          <w:b/>
          <w:lang w:eastAsia="zh-CN"/>
        </w:rPr>
      </w:pPr>
      <w:r w:rsidRPr="00AE0F1E">
        <w:rPr>
          <w:b/>
          <w:lang w:eastAsia="zh-CN"/>
        </w:rPr>
        <w:t>ІІІ. Визначення та оцінка всіх прийнятних альтернативних способів досягнення встановлених цілей з аргументацією переваг обраного способу</w:t>
      </w:r>
    </w:p>
    <w:p w14:paraId="774CE694" w14:textId="00804C60" w:rsidR="00343A60" w:rsidRPr="00343A60" w:rsidRDefault="00343A60" w:rsidP="00343A60">
      <w:pPr>
        <w:widowControl w:val="0"/>
        <w:ind w:firstLine="686"/>
        <w:rPr>
          <w:color w:val="000000"/>
        </w:rPr>
      </w:pPr>
      <w:r w:rsidRPr="00343A60">
        <w:rPr>
          <w:color w:val="000000"/>
        </w:rPr>
        <w:t xml:space="preserve">Ураховуючи </w:t>
      </w:r>
      <w:r w:rsidR="00A74D37">
        <w:rPr>
          <w:color w:val="000000"/>
        </w:rPr>
        <w:t>потребу</w:t>
      </w:r>
      <w:r w:rsidRPr="00343A60">
        <w:rPr>
          <w:color w:val="000000"/>
        </w:rPr>
        <w:t xml:space="preserve"> вирішення питань, пов’язаних із </w:t>
      </w:r>
      <w:r>
        <w:rPr>
          <w:color w:val="000000"/>
          <w:lang w:val="ru-RU"/>
        </w:rPr>
        <w:t xml:space="preserve">переглядом </w:t>
      </w:r>
      <w:r w:rsidRPr="00343A60">
        <w:rPr>
          <w:color w:val="000000"/>
        </w:rPr>
        <w:lastRenderedPageBreak/>
        <w:t>Національним банком розмір</w:t>
      </w:r>
      <w:r>
        <w:rPr>
          <w:color w:val="000000"/>
        </w:rPr>
        <w:t>і</w:t>
      </w:r>
      <w:r>
        <w:rPr>
          <w:color w:val="000000"/>
          <w:lang w:val="ru-RU"/>
        </w:rPr>
        <w:t>в</w:t>
      </w:r>
      <w:r w:rsidRPr="00343A60">
        <w:rPr>
          <w:color w:val="000000"/>
        </w:rPr>
        <w:t xml:space="preserve"> страхових сум, альтернативних способів досягнення встановлених цілей немає.</w:t>
      </w:r>
    </w:p>
    <w:p w14:paraId="1AD2628E" w14:textId="6EC78398" w:rsidR="00C24D5C" w:rsidRDefault="00343A60" w:rsidP="00343A60">
      <w:pPr>
        <w:widowControl w:val="0"/>
        <w:ind w:firstLine="686"/>
        <w:rPr>
          <w:color w:val="000000"/>
        </w:rPr>
      </w:pPr>
      <w:r w:rsidRPr="00343A60">
        <w:rPr>
          <w:color w:val="000000"/>
        </w:rPr>
        <w:t xml:space="preserve">Таким чином, Національний банк з урахуванням положень Закону </w:t>
      </w:r>
      <w:r>
        <w:rPr>
          <w:color w:val="000000"/>
        </w:rPr>
        <w:t>про ОСЦПВ</w:t>
      </w:r>
      <w:r w:rsidRPr="00343A60">
        <w:rPr>
          <w:color w:val="000000"/>
        </w:rPr>
        <w:t xml:space="preserve"> обрав варіант прийняття </w:t>
      </w:r>
      <w:r w:rsidR="006704BE">
        <w:rPr>
          <w:color w:val="000000"/>
        </w:rPr>
        <w:t xml:space="preserve">регуляторного </w:t>
      </w:r>
      <w:r w:rsidRPr="00343A60">
        <w:rPr>
          <w:color w:val="000000"/>
        </w:rPr>
        <w:t xml:space="preserve">акта, як найкращий спосіб досягнення зазначених цілей. </w:t>
      </w:r>
    </w:p>
    <w:p w14:paraId="00F8DB13" w14:textId="77777777" w:rsidR="00C24D5C" w:rsidRDefault="00C24D5C" w:rsidP="00655F4A">
      <w:pPr>
        <w:widowControl w:val="0"/>
        <w:ind w:firstLine="686"/>
        <w:rPr>
          <w:color w:val="000000"/>
        </w:rPr>
      </w:pPr>
    </w:p>
    <w:p w14:paraId="6ED65389" w14:textId="141B9391" w:rsidR="00346C90" w:rsidRPr="00AE0F1E" w:rsidRDefault="00346C90" w:rsidP="00655F4A">
      <w:pPr>
        <w:widowControl w:val="0"/>
        <w:ind w:firstLine="686"/>
        <w:rPr>
          <w:b/>
          <w:lang w:eastAsia="zh-CN"/>
        </w:rPr>
      </w:pPr>
      <w:r w:rsidRPr="00AE0F1E">
        <w:rPr>
          <w:b/>
          <w:lang w:eastAsia="zh-CN"/>
        </w:rPr>
        <w:t>ІV. Опис механізмів і заходів, які забезпечують розв’язання визначеної проблеми шляхом прийняття запропонованого регуляторного акта</w:t>
      </w:r>
    </w:p>
    <w:p w14:paraId="7EBF2F9E" w14:textId="1A847B73" w:rsidR="00C24D5C" w:rsidRDefault="00C24D5C" w:rsidP="00655F4A">
      <w:pPr>
        <w:widowControl w:val="0"/>
        <w:ind w:firstLine="686"/>
      </w:pPr>
      <w:r w:rsidRPr="00C24D5C">
        <w:t>Регуляторний акт встановлює нові обов</w:t>
      </w:r>
      <w:r w:rsidR="006704BE">
        <w:t>’</w:t>
      </w:r>
      <w:r w:rsidRPr="00C24D5C">
        <w:t>язкові розміри страхових сум, а саме: 1</w:t>
      </w:r>
      <w:r>
        <w:t>6</w:t>
      </w:r>
      <w:r w:rsidRPr="00C24D5C">
        <w:t>0</w:t>
      </w:r>
      <w:r w:rsidR="006704BE">
        <w:t xml:space="preserve"> </w:t>
      </w:r>
      <w:r w:rsidRPr="00C24D5C">
        <w:t xml:space="preserve">000 гривень на одного потерпілого за шкоду, заподіяну майну потерпілих, та </w:t>
      </w:r>
      <w:r w:rsidR="00A86EAF">
        <w:t>32</w:t>
      </w:r>
      <w:r w:rsidRPr="00C24D5C">
        <w:t>0</w:t>
      </w:r>
      <w:r w:rsidR="006704BE">
        <w:t xml:space="preserve"> </w:t>
      </w:r>
      <w:r w:rsidRPr="00C24D5C">
        <w:t>000 гривень на одного потерпілого за шкоду, заподіяну життю та здоров</w:t>
      </w:r>
      <w:r w:rsidR="006704BE">
        <w:t>’</w:t>
      </w:r>
      <w:r w:rsidRPr="00C24D5C">
        <w:t xml:space="preserve">ю потерпілих, замість існуючих на сьогоднішній день </w:t>
      </w:r>
      <w:r>
        <w:t>130</w:t>
      </w:r>
      <w:r w:rsidR="006704BE">
        <w:t> 000 </w:t>
      </w:r>
      <w:r w:rsidRPr="00C24D5C">
        <w:t xml:space="preserve">гривень на одного потерпілого </w:t>
      </w:r>
      <w:r w:rsidR="00A74D37">
        <w:t>в</w:t>
      </w:r>
      <w:r w:rsidRPr="00C24D5C">
        <w:t xml:space="preserve"> разі заподіяння шкоди майну потерпілих та </w:t>
      </w:r>
      <w:r>
        <w:t>26</w:t>
      </w:r>
      <w:r w:rsidRPr="00C24D5C">
        <w:t>0</w:t>
      </w:r>
      <w:r w:rsidR="006704BE">
        <w:t xml:space="preserve"> </w:t>
      </w:r>
      <w:r w:rsidRPr="00C24D5C">
        <w:t>000 гривень у разі заподіяння шкоди життю та здоров</w:t>
      </w:r>
      <w:r w:rsidR="006704BE">
        <w:t>’</w:t>
      </w:r>
      <w:r w:rsidRPr="00C24D5C">
        <w:t>ю потерпілих.</w:t>
      </w:r>
    </w:p>
    <w:p w14:paraId="48AB83CC" w14:textId="62FC418E" w:rsidR="00A07AE8" w:rsidRDefault="00A07AE8" w:rsidP="00A07AE8">
      <w:pPr>
        <w:widowControl w:val="0"/>
        <w:ind w:firstLine="686"/>
        <w:rPr>
          <w:highlight w:val="yellow"/>
        </w:rPr>
      </w:pPr>
      <w:r w:rsidRPr="00AE0F1E">
        <w:t>Ступінь ефективності цього регуляторного акта оцінюватиметься за результатами аналізу показників діяльності страховиків</w:t>
      </w:r>
      <w:r>
        <w:t xml:space="preserve">, які </w:t>
      </w:r>
      <w:r>
        <w:rPr>
          <w:lang w:eastAsia="ru-RU"/>
        </w:rPr>
        <w:t>отримали ліцензію на обов</w:t>
      </w:r>
      <w:r w:rsidR="006704BE">
        <w:t>’</w:t>
      </w:r>
      <w:r>
        <w:rPr>
          <w:lang w:eastAsia="ru-RU"/>
        </w:rPr>
        <w:t>язкове страхування цивільно-правової відповідальності власників наземних транспортних засобів</w:t>
      </w:r>
      <w:r w:rsidRPr="00AE0F1E">
        <w:t xml:space="preserve"> </w:t>
      </w:r>
      <w:r w:rsidR="006704BE">
        <w:t xml:space="preserve">та здійснюють діяльність </w:t>
      </w:r>
      <w:r w:rsidRPr="00AE0F1E">
        <w:t xml:space="preserve">на ринку </w:t>
      </w:r>
      <w:r>
        <w:t>страхування.</w:t>
      </w:r>
    </w:p>
    <w:p w14:paraId="2504B97C" w14:textId="77777777" w:rsidR="00C24D5C" w:rsidRPr="00AE0F1E" w:rsidRDefault="00C24D5C" w:rsidP="00655F4A">
      <w:pPr>
        <w:widowControl w:val="0"/>
        <w:ind w:firstLine="686"/>
        <w:rPr>
          <w:lang w:eastAsia="zh-CN"/>
        </w:rPr>
      </w:pPr>
    </w:p>
    <w:p w14:paraId="5E55B236" w14:textId="08D07F26" w:rsidR="00346C90" w:rsidRPr="00AE0F1E" w:rsidRDefault="00346C90" w:rsidP="00655F4A">
      <w:pPr>
        <w:widowControl w:val="0"/>
        <w:ind w:firstLine="686"/>
        <w:rPr>
          <w:rFonts w:ascii="Courier New" w:eastAsia="Arial Unicode MS" w:hAnsi="Courier New" w:cs="Courier New"/>
          <w:b/>
          <w:lang w:eastAsia="zh-CN"/>
        </w:rPr>
      </w:pPr>
      <w:r w:rsidRPr="00AE0F1E">
        <w:rPr>
          <w:rFonts w:eastAsia="Arial Unicode MS"/>
          <w:b/>
          <w:lang w:eastAsia="zh-CN"/>
        </w:rPr>
        <w:t>V. Обґрунтування можливості досягнення цілей у разі прийняття запропонованого регуляторного акт</w:t>
      </w:r>
      <w:r w:rsidR="00343A60">
        <w:rPr>
          <w:rFonts w:eastAsia="Arial Unicode MS"/>
          <w:b/>
          <w:lang w:eastAsia="zh-CN"/>
        </w:rPr>
        <w:t>а</w:t>
      </w:r>
    </w:p>
    <w:p w14:paraId="18A2A533" w14:textId="3ACDC04F" w:rsidR="00346C90" w:rsidRPr="00AE0F1E" w:rsidRDefault="00346C90" w:rsidP="00655F4A">
      <w:pPr>
        <w:widowControl w:val="0"/>
        <w:ind w:firstLine="686"/>
      </w:pPr>
      <w:r w:rsidRPr="00AE0F1E">
        <w:t>Вимоги регуляторного акт</w:t>
      </w:r>
      <w:r w:rsidR="00343A60">
        <w:t>а</w:t>
      </w:r>
      <w:r w:rsidR="0049787B" w:rsidRPr="00AE0F1E">
        <w:t xml:space="preserve"> є </w:t>
      </w:r>
      <w:r w:rsidRPr="00AE0F1E">
        <w:t>обов’язков</w:t>
      </w:r>
      <w:r w:rsidR="0049787B" w:rsidRPr="00AE0F1E">
        <w:t>ими</w:t>
      </w:r>
      <w:r w:rsidRPr="00AE0F1E">
        <w:t xml:space="preserve"> для виконання усіма </w:t>
      </w:r>
      <w:r w:rsidR="00147E47" w:rsidRPr="00AE0F1E">
        <w:t>страхови</w:t>
      </w:r>
      <w:r w:rsidR="0049787B" w:rsidRPr="00AE0F1E">
        <w:t>ка</w:t>
      </w:r>
      <w:r w:rsidR="00147E47" w:rsidRPr="00AE0F1E">
        <w:t>ми</w:t>
      </w:r>
      <w:r w:rsidR="006704BE">
        <w:t xml:space="preserve">, які здійснюють діяльність з </w:t>
      </w:r>
      <w:r w:rsidR="00754D11" w:rsidRPr="00754D11">
        <w:t>обов</w:t>
      </w:r>
      <w:r w:rsidR="006704BE">
        <w:t>’</w:t>
      </w:r>
      <w:r w:rsidR="00754D11" w:rsidRPr="00754D11">
        <w:t>язков</w:t>
      </w:r>
      <w:r w:rsidR="006704BE">
        <w:t>ого</w:t>
      </w:r>
      <w:r w:rsidR="00754D11" w:rsidRPr="00754D11">
        <w:t xml:space="preserve"> страхування цивільно-правової відповідальності власників наземних транспортних засобів</w:t>
      </w:r>
      <w:r w:rsidRPr="00AE0F1E">
        <w:t xml:space="preserve">. Ризик як негативного, так і позитивного впливу зовнішніх </w:t>
      </w:r>
      <w:r w:rsidR="00A74D37">
        <w:t>чинників</w:t>
      </w:r>
      <w:r w:rsidRPr="00AE0F1E">
        <w:t xml:space="preserve"> на дію цього регуляторного акт</w:t>
      </w:r>
      <w:r w:rsidR="00343A60">
        <w:t>а</w:t>
      </w:r>
      <w:r w:rsidRPr="00AE0F1E">
        <w:t xml:space="preserve"> потенційно зумовлюється головним чином змінами в законодавчих актах України, що може призвести до </w:t>
      </w:r>
      <w:r w:rsidR="00A74D37">
        <w:t>потреби</w:t>
      </w:r>
      <w:r w:rsidRPr="00AE0F1E">
        <w:t xml:space="preserve"> внесення змін до </w:t>
      </w:r>
      <w:r w:rsidR="002566B7" w:rsidRPr="00AE0F1E">
        <w:t>цього</w:t>
      </w:r>
      <w:r w:rsidRPr="00AE0F1E">
        <w:t xml:space="preserve"> регуляторного акт</w:t>
      </w:r>
      <w:r w:rsidR="00343A60">
        <w:t>а</w:t>
      </w:r>
      <w:r w:rsidRPr="00AE0F1E">
        <w:t>.</w:t>
      </w:r>
    </w:p>
    <w:p w14:paraId="32A8585D" w14:textId="2F4BD51F" w:rsidR="00346C90" w:rsidRPr="00AE0F1E" w:rsidRDefault="00346C90" w:rsidP="00655F4A">
      <w:pPr>
        <w:widowControl w:val="0"/>
        <w:ind w:firstLine="686"/>
      </w:pPr>
      <w:r w:rsidRPr="00AE0F1E">
        <w:t>Впровадження вимог такого регуляторного акт</w:t>
      </w:r>
      <w:r w:rsidR="00343A60">
        <w:t>а</w:t>
      </w:r>
      <w:r w:rsidRPr="00AE0F1E">
        <w:t xml:space="preserve"> не потребує додаткових витрат Національного банку, </w:t>
      </w:r>
      <w:r w:rsidR="002566B7" w:rsidRPr="00AE0F1E">
        <w:t>оскільки</w:t>
      </w:r>
      <w:r w:rsidRPr="00AE0F1E">
        <w:t xml:space="preserve"> здійснюється в межах його повноважень.</w:t>
      </w:r>
    </w:p>
    <w:p w14:paraId="24FD673F" w14:textId="27E6EEFB" w:rsidR="00346C90" w:rsidRPr="00AE0F1E" w:rsidRDefault="00346C90" w:rsidP="00655F4A">
      <w:pPr>
        <w:widowControl w:val="0"/>
        <w:ind w:firstLine="686"/>
        <w:rPr>
          <w:lang w:eastAsia="ru-RU"/>
        </w:rPr>
      </w:pPr>
      <w:r w:rsidRPr="00AE0F1E">
        <w:rPr>
          <w:lang w:eastAsia="ru-RU"/>
        </w:rPr>
        <w:t>Здійснення державного контролю та нагляду за додержанням вимог акт</w:t>
      </w:r>
      <w:r w:rsidR="00343A60">
        <w:rPr>
          <w:lang w:eastAsia="ru-RU"/>
        </w:rPr>
        <w:t>а</w:t>
      </w:r>
      <w:r w:rsidRPr="00AE0F1E">
        <w:rPr>
          <w:lang w:eastAsia="ru-RU"/>
        </w:rPr>
        <w:t xml:space="preserve"> відбуватиметься в </w:t>
      </w:r>
      <w:r w:rsidR="00A74D37">
        <w:rPr>
          <w:lang w:eastAsia="ru-RU"/>
        </w:rPr>
        <w:t>межах</w:t>
      </w:r>
      <w:r w:rsidRPr="00AE0F1E">
        <w:rPr>
          <w:lang w:eastAsia="ru-RU"/>
        </w:rPr>
        <w:t xml:space="preserve"> здійснення Національним банком наглядової діяльності </w:t>
      </w:r>
      <w:r w:rsidR="0089055B" w:rsidRPr="00AE0F1E">
        <w:rPr>
          <w:lang w:eastAsia="ru-RU"/>
        </w:rPr>
        <w:t xml:space="preserve">за здійсненням </w:t>
      </w:r>
      <w:r w:rsidR="00147E47" w:rsidRPr="00AE0F1E">
        <w:rPr>
          <w:lang w:eastAsia="ru-RU"/>
        </w:rPr>
        <w:t>діяльності</w:t>
      </w:r>
      <w:r w:rsidR="0089055B" w:rsidRPr="00AE0F1E">
        <w:rPr>
          <w:lang w:eastAsia="ru-RU"/>
        </w:rPr>
        <w:t xml:space="preserve"> на ринку страхування</w:t>
      </w:r>
      <w:r w:rsidR="00677413" w:rsidRPr="00AE0F1E">
        <w:rPr>
          <w:lang w:eastAsia="ru-RU"/>
        </w:rPr>
        <w:t xml:space="preserve"> </w:t>
      </w:r>
      <w:r w:rsidRPr="00AE0F1E">
        <w:rPr>
          <w:lang w:eastAsia="ru-RU"/>
        </w:rPr>
        <w:t>із періодичністю, визначеною відповідн</w:t>
      </w:r>
      <w:r w:rsidR="0089055B" w:rsidRPr="00AE0F1E">
        <w:rPr>
          <w:lang w:eastAsia="ru-RU"/>
        </w:rPr>
        <w:t>ими нормативно-правовими актами Національного банку.</w:t>
      </w:r>
    </w:p>
    <w:p w14:paraId="286EAA57" w14:textId="77777777" w:rsidR="00346C90" w:rsidRPr="00AE0F1E" w:rsidRDefault="00346C90" w:rsidP="00655F4A">
      <w:pPr>
        <w:widowControl w:val="0"/>
        <w:tabs>
          <w:tab w:val="left" w:pos="683"/>
        </w:tabs>
        <w:ind w:firstLine="686"/>
        <w:rPr>
          <w:lang w:eastAsia="zh-CN"/>
        </w:rPr>
      </w:pPr>
    </w:p>
    <w:p w14:paraId="388985E7" w14:textId="4D6014A0" w:rsidR="00346C90" w:rsidRPr="00AE0F1E" w:rsidRDefault="00346C90" w:rsidP="00655F4A">
      <w:pPr>
        <w:widowControl w:val="0"/>
        <w:ind w:firstLine="686"/>
        <w:rPr>
          <w:b/>
          <w:lang w:eastAsia="zh-CN"/>
        </w:rPr>
      </w:pPr>
      <w:r w:rsidRPr="00AE0F1E">
        <w:rPr>
          <w:b/>
          <w:lang w:eastAsia="zh-CN"/>
        </w:rPr>
        <w:lastRenderedPageBreak/>
        <w:t>VI. Визначення очікуваних результатів прийняття запропонованого регуляторного акт</w:t>
      </w:r>
      <w:r w:rsidR="00343A60">
        <w:rPr>
          <w:b/>
          <w:lang w:eastAsia="zh-CN"/>
        </w:rPr>
        <w:t>а</w:t>
      </w:r>
    </w:p>
    <w:p w14:paraId="09AF1CEC" w14:textId="0A8DBB1E" w:rsidR="00677413" w:rsidRPr="00A86EAF" w:rsidRDefault="00677413" w:rsidP="00A86EAF">
      <w:pPr>
        <w:widowControl w:val="0"/>
        <w:tabs>
          <w:tab w:val="left" w:pos="1512"/>
        </w:tabs>
        <w:ind w:firstLine="686"/>
        <w:rPr>
          <w:rFonts w:eastAsiaTheme="minorEastAsia"/>
          <w:color w:val="000000"/>
        </w:rPr>
      </w:pPr>
      <w:r w:rsidRPr="00AE0F1E">
        <w:rPr>
          <w:color w:val="000000"/>
        </w:rPr>
        <w:t>Прийняття акт</w:t>
      </w:r>
      <w:r w:rsidR="00343A60">
        <w:rPr>
          <w:color w:val="000000"/>
        </w:rPr>
        <w:t>а</w:t>
      </w:r>
      <w:r w:rsidRPr="00AE0F1E">
        <w:rPr>
          <w:color w:val="000000"/>
        </w:rPr>
        <w:t xml:space="preserve"> дасть змогу</w:t>
      </w:r>
      <w:r w:rsidR="00A86EAF" w:rsidRPr="00A86EAF">
        <w:t xml:space="preserve"> </w:t>
      </w:r>
      <w:r w:rsidR="006704BE">
        <w:t xml:space="preserve">реалізувати </w:t>
      </w:r>
      <w:r w:rsidR="00A86EAF" w:rsidRPr="00A86EAF">
        <w:rPr>
          <w:color w:val="000000"/>
        </w:rPr>
        <w:t>вимог</w:t>
      </w:r>
      <w:r w:rsidR="00A86EAF">
        <w:rPr>
          <w:color w:val="000000"/>
        </w:rPr>
        <w:t>и</w:t>
      </w:r>
      <w:r w:rsidR="00A86EAF" w:rsidRPr="00A86EAF">
        <w:rPr>
          <w:color w:val="000000"/>
        </w:rPr>
        <w:t xml:space="preserve"> пункту 9.5 статті 9 Закону </w:t>
      </w:r>
      <w:r w:rsidR="00CA778D">
        <w:rPr>
          <w:color w:val="000000"/>
        </w:rPr>
        <w:t>п</w:t>
      </w:r>
      <w:r w:rsidR="00A86EAF" w:rsidRPr="00A86EAF">
        <w:rPr>
          <w:color w:val="000000"/>
        </w:rPr>
        <w:t xml:space="preserve">ро </w:t>
      </w:r>
      <w:r w:rsidR="00CA778D">
        <w:rPr>
          <w:color w:val="000000"/>
        </w:rPr>
        <w:t>ОСЦПВ</w:t>
      </w:r>
      <w:r w:rsidRPr="00AE0F1E">
        <w:t xml:space="preserve"> </w:t>
      </w:r>
      <w:r w:rsidRPr="00AE0F1E">
        <w:rPr>
          <w:color w:val="000000"/>
          <w:lang w:eastAsia="ru-RU"/>
        </w:rPr>
        <w:t xml:space="preserve">та сприятиме реалізації повноважень </w:t>
      </w:r>
      <w:r w:rsidRPr="00AE0F1E">
        <w:t xml:space="preserve">Національного банку. </w:t>
      </w:r>
    </w:p>
    <w:p w14:paraId="27CD5885" w14:textId="134BC98F" w:rsidR="00CA778D" w:rsidRDefault="00677413" w:rsidP="00343A60">
      <w:pPr>
        <w:widowControl w:val="0"/>
        <w:tabs>
          <w:tab w:val="left" w:pos="1512"/>
        </w:tabs>
        <w:ind w:firstLine="686"/>
        <w:rPr>
          <w:lang w:eastAsia="ru-RU"/>
        </w:rPr>
      </w:pPr>
      <w:r w:rsidRPr="00AE0F1E">
        <w:t>П</w:t>
      </w:r>
      <w:r w:rsidR="00346C90" w:rsidRPr="00AE0F1E">
        <w:rPr>
          <w:lang w:eastAsia="ru-RU"/>
        </w:rPr>
        <w:t>озитивними результатами прийняття а</w:t>
      </w:r>
      <w:r w:rsidR="00CA778D">
        <w:rPr>
          <w:lang w:eastAsia="ru-RU"/>
        </w:rPr>
        <w:t>к</w:t>
      </w:r>
      <w:r w:rsidR="00346C90" w:rsidRPr="00AE0F1E">
        <w:rPr>
          <w:lang w:eastAsia="ru-RU"/>
        </w:rPr>
        <w:t>т</w:t>
      </w:r>
      <w:r w:rsidR="00343A60">
        <w:rPr>
          <w:lang w:eastAsia="ru-RU"/>
        </w:rPr>
        <w:t>а</w:t>
      </w:r>
      <w:r w:rsidR="00346C90" w:rsidRPr="00AE0F1E">
        <w:rPr>
          <w:lang w:eastAsia="ru-RU"/>
        </w:rPr>
        <w:t xml:space="preserve"> буде </w:t>
      </w:r>
      <w:r w:rsidR="00CA778D" w:rsidRPr="00CA778D">
        <w:rPr>
          <w:lang w:eastAsia="ru-RU"/>
        </w:rPr>
        <w:t>наближення вітчизняного законодавства у сфері обов</w:t>
      </w:r>
      <w:r w:rsidR="006704BE">
        <w:t>’</w:t>
      </w:r>
      <w:r w:rsidR="00CA778D" w:rsidRPr="00CA778D">
        <w:rPr>
          <w:lang w:eastAsia="ru-RU"/>
        </w:rPr>
        <w:t>язкового страхування цивільно-правової відповідальності власників наземних транспортних засобів до положень Директиви № 2009/103/ЄС Європ</w:t>
      </w:r>
      <w:r w:rsidR="006704BE">
        <w:rPr>
          <w:lang w:eastAsia="ru-RU"/>
        </w:rPr>
        <w:t>ейського Парламенту та Ради від </w:t>
      </w:r>
      <w:r w:rsidR="00CA778D" w:rsidRPr="00CA778D">
        <w:rPr>
          <w:lang w:eastAsia="ru-RU"/>
        </w:rPr>
        <w:t xml:space="preserve">16 вересня 2009 року </w:t>
      </w:r>
      <w:r w:rsidR="0083400B">
        <w:rPr>
          <w:lang w:eastAsia="ru-RU"/>
        </w:rPr>
        <w:t>про</w:t>
      </w:r>
      <w:r w:rsidR="00CA778D" w:rsidRPr="00CA778D">
        <w:rPr>
          <w:lang w:eastAsia="ru-RU"/>
        </w:rPr>
        <w:t xml:space="preserve"> страхування цивільної відповідальності</w:t>
      </w:r>
      <w:r w:rsidR="00A74D37">
        <w:rPr>
          <w:lang w:eastAsia="ru-RU"/>
        </w:rPr>
        <w:t xml:space="preserve"> щодо</w:t>
      </w:r>
      <w:r w:rsidR="00CA778D" w:rsidRPr="00CA778D">
        <w:rPr>
          <w:lang w:eastAsia="ru-RU"/>
        </w:rPr>
        <w:t xml:space="preserve"> використання автотранспортних засобів та </w:t>
      </w:r>
      <w:bookmarkStart w:id="3" w:name="_Hlk79671762"/>
      <w:r w:rsidR="00CA778D" w:rsidRPr="00CA778D">
        <w:rPr>
          <w:lang w:eastAsia="ru-RU"/>
        </w:rPr>
        <w:t xml:space="preserve">посилення захисту громадян, потерпілих </w:t>
      </w:r>
      <w:r w:rsidR="00A74D37">
        <w:rPr>
          <w:lang w:eastAsia="ru-RU"/>
        </w:rPr>
        <w:t>у</w:t>
      </w:r>
      <w:r w:rsidR="00CA778D" w:rsidRPr="00CA778D">
        <w:rPr>
          <w:lang w:eastAsia="ru-RU"/>
        </w:rPr>
        <w:t>наслідок дорожньо-транспортної пригоди</w:t>
      </w:r>
      <w:r w:rsidR="00CA778D">
        <w:rPr>
          <w:lang w:eastAsia="ru-RU"/>
        </w:rPr>
        <w:t>.</w:t>
      </w:r>
      <w:bookmarkEnd w:id="3"/>
    </w:p>
    <w:p w14:paraId="447AFCCC" w14:textId="77777777" w:rsidR="00346C90" w:rsidRPr="00AE0F1E" w:rsidRDefault="00346C90" w:rsidP="00655F4A">
      <w:pPr>
        <w:ind w:firstLine="686"/>
        <w:rPr>
          <w:lang w:eastAsia="ru-RU"/>
        </w:rPr>
      </w:pPr>
    </w:p>
    <w:p w14:paraId="3E348908" w14:textId="6DC3411A" w:rsidR="0049787B" w:rsidRPr="00AE0F1E" w:rsidRDefault="00346C90" w:rsidP="00655F4A">
      <w:pPr>
        <w:ind w:firstLine="686"/>
        <w:rPr>
          <w:b/>
          <w:color w:val="000000"/>
        </w:rPr>
      </w:pPr>
      <w:r w:rsidRPr="00AE0F1E">
        <w:rPr>
          <w:b/>
          <w:lang w:eastAsia="zh-CN"/>
        </w:rPr>
        <w:t xml:space="preserve">VII. </w:t>
      </w:r>
      <w:r w:rsidR="0049787B" w:rsidRPr="00AE0F1E">
        <w:rPr>
          <w:b/>
          <w:color w:val="000000"/>
        </w:rPr>
        <w:t>Обґрунтування строку чинності запропонованого регуляторного акт</w:t>
      </w:r>
      <w:r w:rsidR="00343A60">
        <w:rPr>
          <w:b/>
          <w:color w:val="000000"/>
        </w:rPr>
        <w:t>а</w:t>
      </w:r>
    </w:p>
    <w:p w14:paraId="6E4FF106" w14:textId="5683847D" w:rsidR="0049787B" w:rsidRPr="00AE0F1E" w:rsidRDefault="0049787B" w:rsidP="0049787B">
      <w:pPr>
        <w:ind w:firstLine="708"/>
        <w:rPr>
          <w:color w:val="000000"/>
        </w:rPr>
      </w:pPr>
      <w:r w:rsidRPr="006704BE">
        <w:rPr>
          <w:color w:val="000000"/>
        </w:rPr>
        <w:t>Запропонований до роз</w:t>
      </w:r>
      <w:r w:rsidR="006704BE">
        <w:rPr>
          <w:color w:val="000000"/>
        </w:rPr>
        <w:t>гляду акт набиратиме чинності з</w:t>
      </w:r>
      <w:r w:rsidR="00CA778D" w:rsidRPr="006704BE">
        <w:rPr>
          <w:color w:val="000000"/>
        </w:rPr>
        <w:t xml:space="preserve"> </w:t>
      </w:r>
      <w:r w:rsidR="000705B5">
        <w:rPr>
          <w:color w:val="000000"/>
        </w:rPr>
        <w:t>0</w:t>
      </w:r>
      <w:r w:rsidR="00CA778D" w:rsidRPr="006704BE">
        <w:rPr>
          <w:color w:val="000000"/>
        </w:rPr>
        <w:t xml:space="preserve">1 </w:t>
      </w:r>
      <w:r w:rsidR="006704BE" w:rsidRPr="006704BE">
        <w:rPr>
          <w:color w:val="000000"/>
        </w:rPr>
        <w:t>червня 2022 </w:t>
      </w:r>
      <w:r w:rsidR="00CA778D" w:rsidRPr="006704BE">
        <w:rPr>
          <w:color w:val="000000"/>
        </w:rPr>
        <w:t>року.</w:t>
      </w:r>
    </w:p>
    <w:p w14:paraId="0BDE7303" w14:textId="6C0BECB1" w:rsidR="0049787B" w:rsidRPr="00AE0F1E" w:rsidRDefault="0049787B" w:rsidP="0049787B">
      <w:pPr>
        <w:ind w:firstLine="708"/>
        <w:rPr>
          <w:color w:val="000000"/>
        </w:rPr>
      </w:pPr>
      <w:r w:rsidRPr="00AE0F1E">
        <w:rPr>
          <w:color w:val="000000"/>
        </w:rPr>
        <w:t>Строк дії акт</w:t>
      </w:r>
      <w:r w:rsidR="00A74D37">
        <w:rPr>
          <w:color w:val="000000"/>
        </w:rPr>
        <w:t>а</w:t>
      </w:r>
      <w:r w:rsidRPr="00AE0F1E">
        <w:rPr>
          <w:color w:val="000000"/>
        </w:rPr>
        <w:t xml:space="preserve"> не обмежений у часі.</w:t>
      </w:r>
    </w:p>
    <w:p w14:paraId="69E1C13D" w14:textId="77777777" w:rsidR="0049787B" w:rsidRPr="00AE0F1E" w:rsidRDefault="0049787B" w:rsidP="00655F4A">
      <w:pPr>
        <w:ind w:firstLine="686"/>
        <w:rPr>
          <w:b/>
          <w:lang w:eastAsia="zh-CN"/>
        </w:rPr>
      </w:pPr>
    </w:p>
    <w:p w14:paraId="3D40F879" w14:textId="7E7986BD" w:rsidR="00346C90" w:rsidRDefault="0049787B" w:rsidP="00655F4A">
      <w:pPr>
        <w:ind w:firstLine="686"/>
        <w:rPr>
          <w:b/>
          <w:lang w:eastAsia="zh-CN"/>
        </w:rPr>
      </w:pPr>
      <w:r w:rsidRPr="00AE0F1E">
        <w:rPr>
          <w:b/>
          <w:color w:val="000000"/>
        </w:rPr>
        <w:t xml:space="preserve">VІІІ. </w:t>
      </w:r>
      <w:r w:rsidR="00346C90" w:rsidRPr="00AE0F1E">
        <w:rPr>
          <w:b/>
          <w:lang w:eastAsia="zh-CN"/>
        </w:rPr>
        <w:t>Визначення показників результативності регуляторного акт</w:t>
      </w:r>
      <w:r w:rsidR="00343A60">
        <w:rPr>
          <w:b/>
          <w:lang w:eastAsia="zh-CN"/>
        </w:rPr>
        <w:t>а</w:t>
      </w:r>
    </w:p>
    <w:p w14:paraId="7D0562D2" w14:textId="77777777" w:rsidR="006704BE" w:rsidRDefault="006704BE" w:rsidP="00655F4A">
      <w:pPr>
        <w:ind w:firstLine="686"/>
      </w:pPr>
      <w:r>
        <w:t xml:space="preserve">Показниками результативності регуляторного акта є: </w:t>
      </w:r>
    </w:p>
    <w:p w14:paraId="1EC91C06" w14:textId="0A7CD21F" w:rsidR="006704BE" w:rsidRDefault="006704BE" w:rsidP="00655F4A">
      <w:pPr>
        <w:ind w:firstLine="686"/>
      </w:pPr>
      <w:r>
        <w:t xml:space="preserve">1) кількість суб’єктів господарювання та/або фізичних осіб, на яких поширюватиметься дія акта. Станом на </w:t>
      </w:r>
      <w:r w:rsidR="006C7C96">
        <w:t>вересень</w:t>
      </w:r>
      <w:r w:rsidR="00963A94">
        <w:t xml:space="preserve"> 2021 року </w:t>
      </w:r>
      <w:r>
        <w:t xml:space="preserve">кількість страховиків, які мають ліцензію </w:t>
      </w:r>
      <w:r w:rsidR="006C7C96">
        <w:rPr>
          <w:lang w:eastAsia="ru-RU"/>
        </w:rPr>
        <w:t xml:space="preserve">на обов’язкове страхування цивільно-правової відповідальності власників наземних транспортних засобів, </w:t>
      </w:r>
      <w:r>
        <w:t xml:space="preserve">– </w:t>
      </w:r>
      <w:r w:rsidR="006C7C96" w:rsidRPr="006C7C96">
        <w:rPr>
          <w:lang w:eastAsia="ru-RU"/>
        </w:rPr>
        <w:t>43</w:t>
      </w:r>
      <w:r w:rsidR="006C7C96">
        <w:rPr>
          <w:lang w:eastAsia="ru-RU"/>
        </w:rPr>
        <w:t xml:space="preserve"> страховики;</w:t>
      </w:r>
      <w:r>
        <w:t xml:space="preserve"> </w:t>
      </w:r>
    </w:p>
    <w:p w14:paraId="0BC84279" w14:textId="3BD25E6E" w:rsidR="006704BE" w:rsidRDefault="006704BE" w:rsidP="00655F4A">
      <w:pPr>
        <w:ind w:firstLine="686"/>
      </w:pPr>
      <w:r>
        <w:t xml:space="preserve">2) розмір коштів і час, що витрачатимуться суб’єктами господарювання та/або фізичними особами, пов’язаними з виконанням вимог регуляторного акта. Кількісний показник результативності регуляторного акта визначатиметься через кількість страховиків, які матимуть право здійснювати діяльність </w:t>
      </w:r>
      <w:r w:rsidR="006C7C96">
        <w:t xml:space="preserve">з </w:t>
      </w:r>
      <w:r w:rsidR="006C7C96">
        <w:rPr>
          <w:lang w:eastAsia="ru-RU"/>
        </w:rPr>
        <w:t>обов’язкового страхування цивільно-правової відповідальності власників наземних транспортних засобів</w:t>
      </w:r>
      <w:r>
        <w:t xml:space="preserve"> відповідно до вимог акта. Часові витрати страховиків полягатимуть </w:t>
      </w:r>
      <w:r w:rsidR="006C7C96">
        <w:t>у приведенні організаційної структури страховика у відповідність до вимог цього регуляторного акта</w:t>
      </w:r>
      <w:r w:rsidR="00963A94">
        <w:t xml:space="preserve"> в частині інформування щодо зміни розміру страхових сум</w:t>
      </w:r>
      <w:r>
        <w:t xml:space="preserve">; </w:t>
      </w:r>
    </w:p>
    <w:p w14:paraId="1732ED75" w14:textId="0DB95DAF" w:rsidR="006704BE" w:rsidRDefault="006704BE" w:rsidP="00655F4A">
      <w:pPr>
        <w:ind w:firstLine="686"/>
      </w:pPr>
      <w:r>
        <w:t xml:space="preserve">3) обсяг валових страхових премій та здійснених страховиками страхових виплат за </w:t>
      </w:r>
      <w:r w:rsidR="00171730">
        <w:t xml:space="preserve">договорами з </w:t>
      </w:r>
      <w:r w:rsidR="00171730">
        <w:rPr>
          <w:lang w:eastAsia="ru-RU"/>
        </w:rPr>
        <w:t>обов’язкового страхування цивільно-правової відповідальності власників наземних транспортних засобів</w:t>
      </w:r>
      <w:r>
        <w:t>. За даними зв</w:t>
      </w:r>
      <w:r w:rsidR="00171730">
        <w:t>ітності страховиків станом на 30</w:t>
      </w:r>
      <w:r w:rsidR="000705B5">
        <w:t xml:space="preserve"> червня </w:t>
      </w:r>
      <w:r w:rsidR="00171730">
        <w:t>2021</w:t>
      </w:r>
      <w:r>
        <w:t xml:space="preserve"> обсяг валових </w:t>
      </w:r>
      <w:r>
        <w:lastRenderedPageBreak/>
        <w:t xml:space="preserve">страхових премій за </w:t>
      </w:r>
      <w:r w:rsidR="00171730">
        <w:t xml:space="preserve">внутрішніми договорами за </w:t>
      </w:r>
      <w:r w:rsidRPr="00171730">
        <w:t>цим видом</w:t>
      </w:r>
      <w:r w:rsidR="006C7C96" w:rsidRPr="00171730">
        <w:t xml:space="preserve"> страхування становив </w:t>
      </w:r>
      <w:r w:rsidR="00171730" w:rsidRPr="00171730">
        <w:t>3245,3</w:t>
      </w:r>
      <w:r w:rsidR="00DC2905">
        <w:t> </w:t>
      </w:r>
      <w:r w:rsidR="006C7C96" w:rsidRPr="00171730">
        <w:t xml:space="preserve">млн </w:t>
      </w:r>
      <w:r w:rsidRPr="00171730">
        <w:t xml:space="preserve">грн, а обсяг страхових виплат – </w:t>
      </w:r>
      <w:r w:rsidR="00171730" w:rsidRPr="00171730">
        <w:t>1702,8</w:t>
      </w:r>
      <w:r w:rsidRPr="00171730">
        <w:t xml:space="preserve"> млн грн.</w:t>
      </w:r>
    </w:p>
    <w:p w14:paraId="66678608" w14:textId="481ADB70" w:rsidR="00171730" w:rsidRPr="00AE0F1E" w:rsidRDefault="00171730" w:rsidP="00655F4A">
      <w:pPr>
        <w:ind w:firstLine="686"/>
        <w:rPr>
          <w:b/>
          <w:lang w:eastAsia="zh-CN"/>
        </w:rPr>
      </w:pPr>
      <w:r>
        <w:t xml:space="preserve">4) кількість укладених </w:t>
      </w:r>
      <w:r w:rsidR="000705B5">
        <w:t xml:space="preserve">договорів </w:t>
      </w:r>
      <w:r>
        <w:t xml:space="preserve">з </w:t>
      </w:r>
      <w:r>
        <w:rPr>
          <w:lang w:eastAsia="ru-RU"/>
        </w:rPr>
        <w:t>обов’язкового страхування цивільно-правової відповідальності власників наземних транспортних засобів у ІІ</w:t>
      </w:r>
      <w:r w:rsidR="0068086D">
        <w:rPr>
          <w:lang w:eastAsia="ru-RU"/>
        </w:rPr>
        <w:t xml:space="preserve"> півріччі 2021 </w:t>
      </w:r>
      <w:r>
        <w:rPr>
          <w:lang w:eastAsia="ru-RU"/>
        </w:rPr>
        <w:t xml:space="preserve">року </w:t>
      </w:r>
      <w:r w:rsidRPr="00171730">
        <w:t>–</w:t>
      </w:r>
      <w:r>
        <w:t xml:space="preserve"> 4 281 130 шт.</w:t>
      </w:r>
    </w:p>
    <w:p w14:paraId="6C51E2E1" w14:textId="6ABEA1B7" w:rsidR="0049787B" w:rsidRPr="00AE0F1E" w:rsidRDefault="0049787B" w:rsidP="00655F4A">
      <w:pPr>
        <w:ind w:firstLine="686"/>
        <w:rPr>
          <w:lang w:eastAsia="ru-RU"/>
        </w:rPr>
      </w:pPr>
      <w:r w:rsidRPr="00AE0F1E">
        <w:rPr>
          <w:color w:val="000000"/>
        </w:rPr>
        <w:t>Дія акт</w:t>
      </w:r>
      <w:r w:rsidR="00A74D37">
        <w:rPr>
          <w:color w:val="000000"/>
        </w:rPr>
        <w:t>а</w:t>
      </w:r>
      <w:r w:rsidRPr="00AE0F1E">
        <w:rPr>
          <w:color w:val="000000"/>
        </w:rPr>
        <w:t xml:space="preserve">, у разі його прийняття, поширюватиметься на страховиків, які укладають договори </w:t>
      </w:r>
      <w:r w:rsidR="00CA778D" w:rsidRPr="00CA778D">
        <w:rPr>
          <w:color w:val="000000"/>
        </w:rPr>
        <w:t>обов</w:t>
      </w:r>
      <w:r w:rsidR="006704BE">
        <w:rPr>
          <w:color w:val="000000"/>
        </w:rPr>
        <w:t>’</w:t>
      </w:r>
      <w:r w:rsidR="00CA778D" w:rsidRPr="00CA778D">
        <w:rPr>
          <w:color w:val="000000"/>
        </w:rPr>
        <w:t>язков</w:t>
      </w:r>
      <w:r w:rsidR="00CA778D">
        <w:rPr>
          <w:color w:val="000000"/>
        </w:rPr>
        <w:t>ого</w:t>
      </w:r>
      <w:r w:rsidR="00CA778D" w:rsidRPr="00CA778D">
        <w:rPr>
          <w:color w:val="000000"/>
        </w:rPr>
        <w:t xml:space="preserve"> страхування цивільно-правової відповідальності власників наземних транспортних засобів</w:t>
      </w:r>
      <w:r w:rsidRPr="00AE0F1E">
        <w:rPr>
          <w:color w:val="000000"/>
        </w:rPr>
        <w:t>, за якими здійснює нагляд Національний банк.</w:t>
      </w:r>
    </w:p>
    <w:p w14:paraId="5E17CF28" w14:textId="7D24B378" w:rsidR="00CA596E" w:rsidRDefault="00652D49" w:rsidP="00655F4A">
      <w:pPr>
        <w:ind w:firstLine="686"/>
        <w:rPr>
          <w:bCs/>
          <w:color w:val="000000"/>
          <w:lang w:val="ru-RU"/>
        </w:rPr>
      </w:pPr>
      <w:r w:rsidRPr="00652D49">
        <w:rPr>
          <w:bCs/>
          <w:color w:val="000000"/>
        </w:rPr>
        <w:t>Якісним показником результативності є виконання суб’єктами господарювання вимог регуляторного акта під час укладання договорів обов</w:t>
      </w:r>
      <w:r w:rsidR="006704BE">
        <w:rPr>
          <w:bCs/>
          <w:color w:val="000000"/>
        </w:rPr>
        <w:t>’</w:t>
      </w:r>
      <w:r w:rsidRPr="00652D49">
        <w:rPr>
          <w:bCs/>
          <w:color w:val="000000"/>
        </w:rPr>
        <w:t>язкового страхування цивільно-правової відповідальності власників наземних транспортних засобів. Висновок щодо цього показника можна буде зробити за результатами застосування його норм на практиці</w:t>
      </w:r>
      <w:r>
        <w:rPr>
          <w:bCs/>
          <w:color w:val="000000"/>
          <w:lang w:val="ru-RU"/>
        </w:rPr>
        <w:t>.</w:t>
      </w:r>
    </w:p>
    <w:p w14:paraId="368755B6" w14:textId="77777777" w:rsidR="00652D49" w:rsidRPr="00652D49" w:rsidRDefault="00652D49" w:rsidP="00655F4A">
      <w:pPr>
        <w:ind w:firstLine="686"/>
        <w:rPr>
          <w:bCs/>
          <w:color w:val="000000"/>
          <w:lang w:val="ru-RU"/>
        </w:rPr>
      </w:pPr>
    </w:p>
    <w:p w14:paraId="3C4D5B54" w14:textId="458C57BF" w:rsidR="00346C90" w:rsidRPr="00AE0F1E" w:rsidRDefault="00625A58" w:rsidP="00655F4A">
      <w:pPr>
        <w:ind w:firstLine="686"/>
        <w:rPr>
          <w:b/>
          <w:lang w:eastAsia="zh-CN"/>
        </w:rPr>
      </w:pPr>
      <w:r w:rsidRPr="00AE0F1E">
        <w:rPr>
          <w:b/>
          <w:color w:val="000000"/>
        </w:rPr>
        <w:t>ІХ.</w:t>
      </w:r>
      <w:r w:rsidR="00346C90" w:rsidRPr="00AE0F1E">
        <w:rPr>
          <w:b/>
          <w:lang w:eastAsia="zh-CN"/>
        </w:rPr>
        <w:t xml:space="preserve"> Визначення заходів, за допомогою яких відстежуватиметься результативність регуляторного акт</w:t>
      </w:r>
      <w:r w:rsidR="00343A60">
        <w:rPr>
          <w:b/>
          <w:lang w:val="ru-RU" w:eastAsia="zh-CN"/>
        </w:rPr>
        <w:t>а</w:t>
      </w:r>
      <w:r w:rsidR="00346C90" w:rsidRPr="00AE0F1E">
        <w:rPr>
          <w:b/>
          <w:lang w:eastAsia="zh-CN"/>
        </w:rPr>
        <w:t xml:space="preserve"> в разі його прийняття</w:t>
      </w:r>
    </w:p>
    <w:p w14:paraId="4C980CEE" w14:textId="188D20E6" w:rsidR="006704BE" w:rsidRDefault="006704BE" w:rsidP="00655F4A">
      <w:pPr>
        <w:ind w:firstLine="686"/>
      </w:pPr>
      <w:r>
        <w:t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</w:t>
      </w:r>
      <w:r w:rsidR="00A74D37">
        <w:t xml:space="preserve"> України</w:t>
      </w:r>
      <w:r>
        <w:t xml:space="preserve">, затвердженої постановою Кабінету Міністрів України і </w:t>
      </w:r>
      <w:r w:rsidR="00DC2905">
        <w:t>Національного банку України від </w:t>
      </w:r>
      <w:r>
        <w:t>14</w:t>
      </w:r>
      <w:r w:rsidR="001168DE">
        <w:t>.04.</w:t>
      </w:r>
      <w:bookmarkStart w:id="4" w:name="_GoBack"/>
      <w:bookmarkEnd w:id="4"/>
      <w:r>
        <w:t xml:space="preserve">2004 № 471. </w:t>
      </w:r>
    </w:p>
    <w:p w14:paraId="06A760FB" w14:textId="3F22D2CE" w:rsidR="006704BE" w:rsidRDefault="006704BE" w:rsidP="00655F4A">
      <w:pPr>
        <w:ind w:firstLine="686"/>
      </w:pPr>
      <w:r>
        <w:t>Відстеження результативності регуляторного акта проводити</w:t>
      </w:r>
      <w:r w:rsidR="00A74D37">
        <w:t>меться</w:t>
      </w:r>
      <w:r>
        <w:t xml:space="preserve">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акта. </w:t>
      </w:r>
    </w:p>
    <w:p w14:paraId="6C3CAE6B" w14:textId="59FAD417" w:rsidR="006704BE" w:rsidRDefault="006704BE" w:rsidP="00655F4A">
      <w:pPr>
        <w:ind w:firstLine="686"/>
      </w:pPr>
      <w:r>
        <w:t xml:space="preserve">Базове відстеження результативності регуляторного акта здійснюватиметься протягом року з дня набрання чинності цим актом відповідно 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дані. </w:t>
      </w:r>
    </w:p>
    <w:p w14:paraId="2170476E" w14:textId="0C19017D" w:rsidR="006704BE" w:rsidRDefault="006704BE" w:rsidP="00655F4A">
      <w:pPr>
        <w:ind w:firstLine="686"/>
      </w:pPr>
      <w:r>
        <w:t>Повторне відстеження пров</w:t>
      </w:r>
      <w:r w:rsidR="0002225C">
        <w:t>одитиметься</w:t>
      </w:r>
      <w:r>
        <w:t xml:space="preserve"> не пізніше двох років </w:t>
      </w:r>
      <w:r w:rsidR="0002225C">
        <w:t>і</w:t>
      </w:r>
      <w:r>
        <w:t xml:space="preserve">з дня набрання чинності регуляторним актом. </w:t>
      </w:r>
    </w:p>
    <w:p w14:paraId="4F9ED671" w14:textId="16ADB7C9" w:rsidR="006704BE" w:rsidRDefault="006704BE" w:rsidP="00655F4A">
      <w:pPr>
        <w:ind w:firstLine="686"/>
      </w:pPr>
      <w:r>
        <w:t xml:space="preserve">Періодичне відстеження результативності – раз на кожні три роки з дня закінчення заходів із повторного відстеження результативності регуляторного акта. </w:t>
      </w:r>
    </w:p>
    <w:p w14:paraId="2BAFA9F0" w14:textId="5750BE3C" w:rsidR="00D232AB" w:rsidRDefault="006704BE" w:rsidP="00655F4A">
      <w:pPr>
        <w:ind w:firstLine="686"/>
      </w:pPr>
      <w:r>
        <w:lastRenderedPageBreak/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 Інтернет-представництва Національного банку.</w:t>
      </w:r>
    </w:p>
    <w:p w14:paraId="70426619" w14:textId="77777777" w:rsidR="006704BE" w:rsidRPr="00AE0F1E" w:rsidRDefault="006704BE" w:rsidP="00655F4A">
      <w:pPr>
        <w:ind w:firstLine="686"/>
        <w:rPr>
          <w:lang w:eastAsia="zh-CN"/>
        </w:r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025"/>
      </w:tblGrid>
      <w:tr w:rsidR="00DD60CC" w:rsidRPr="00DF13F9" w14:paraId="2BAFA9F7" w14:textId="77777777" w:rsidTr="006704BE">
        <w:trPr>
          <w:trHeight w:val="954"/>
        </w:trPr>
        <w:tc>
          <w:tcPr>
            <w:tcW w:w="5331" w:type="dxa"/>
            <w:vAlign w:val="bottom"/>
          </w:tcPr>
          <w:p w14:paraId="656AC6CD" w14:textId="77777777" w:rsidR="00A91B3F" w:rsidRPr="00AE0F1E" w:rsidRDefault="00A91B3F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2BAFA9F5" w14:textId="5B138E5A" w:rsidR="00DD60CC" w:rsidRPr="00AE0F1E" w:rsidRDefault="00346C90" w:rsidP="006704BE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AE0F1E">
              <w:rPr>
                <w:rFonts w:eastAsia="SimSun"/>
              </w:rPr>
              <w:t>Голов</w:t>
            </w:r>
            <w:r w:rsidR="00E84936" w:rsidRPr="00AE0F1E">
              <w:rPr>
                <w:rFonts w:eastAsia="SimSun"/>
              </w:rPr>
              <w:t>а</w:t>
            </w:r>
            <w:r w:rsidR="00625A58" w:rsidRPr="00AE0F1E">
              <w:rPr>
                <w:rFonts w:eastAsia="SimSun"/>
              </w:rPr>
              <w:t xml:space="preserve"> </w:t>
            </w:r>
            <w:r w:rsidR="00456EDF">
              <w:rPr>
                <w:rFonts w:eastAsia="SimSun"/>
              </w:rPr>
              <w:t>Національного банку України</w:t>
            </w:r>
          </w:p>
        </w:tc>
        <w:tc>
          <w:tcPr>
            <w:tcW w:w="4025" w:type="dxa"/>
            <w:vAlign w:val="bottom"/>
          </w:tcPr>
          <w:p w14:paraId="2BAFA9F6" w14:textId="415B0EAE" w:rsidR="00DD60CC" w:rsidRPr="000A459C" w:rsidRDefault="00E84936" w:rsidP="0017282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 w:rsidRPr="00AE0F1E">
              <w:rPr>
                <w:rFonts w:eastAsia="SimSun"/>
              </w:rPr>
              <w:t>Кирило ШЕВЧЕНКО</w:t>
            </w:r>
          </w:p>
        </w:tc>
      </w:tr>
    </w:tbl>
    <w:p w14:paraId="2BAFA9FA" w14:textId="64EA7CCA" w:rsidR="000F1B82" w:rsidRPr="00081158" w:rsidRDefault="000F1B82" w:rsidP="00D232AB">
      <w:pPr>
        <w:jc w:val="left"/>
      </w:pPr>
    </w:p>
    <w:sectPr w:rsidR="000F1B82" w:rsidRPr="00081158" w:rsidSect="0027299E">
      <w:headerReference w:type="default" r:id="rId12"/>
      <w:pgSz w:w="11906" w:h="16838" w:code="9"/>
      <w:pgMar w:top="1276" w:right="849" w:bottom="241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AF457" w14:textId="77777777" w:rsidR="00E52305" w:rsidRDefault="00E52305" w:rsidP="00E53CCD">
      <w:r>
        <w:separator/>
      </w:r>
    </w:p>
  </w:endnote>
  <w:endnote w:type="continuationSeparator" w:id="0">
    <w:p w14:paraId="42BE03AD" w14:textId="77777777" w:rsidR="00E52305" w:rsidRDefault="00E52305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369A9" w14:textId="77777777" w:rsidR="00E52305" w:rsidRDefault="00E52305" w:rsidP="00E53CCD">
      <w:r>
        <w:separator/>
      </w:r>
    </w:p>
  </w:footnote>
  <w:footnote w:type="continuationSeparator" w:id="0">
    <w:p w14:paraId="3AE21B05" w14:textId="77777777" w:rsidR="00E52305" w:rsidRDefault="00E52305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2BAFAA00" w14:textId="22037A50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8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AFAA01" w14:textId="77777777" w:rsidR="000F1B82" w:rsidRDefault="000F1B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21C4"/>
    <w:rsid w:val="00004FC7"/>
    <w:rsid w:val="000064FA"/>
    <w:rsid w:val="00011790"/>
    <w:rsid w:val="00015FDE"/>
    <w:rsid w:val="00021999"/>
    <w:rsid w:val="0002225C"/>
    <w:rsid w:val="00031F9C"/>
    <w:rsid w:val="000342A5"/>
    <w:rsid w:val="0003793C"/>
    <w:rsid w:val="000543C6"/>
    <w:rsid w:val="00063480"/>
    <w:rsid w:val="000705B5"/>
    <w:rsid w:val="00081158"/>
    <w:rsid w:val="000829C1"/>
    <w:rsid w:val="000865DD"/>
    <w:rsid w:val="000908E3"/>
    <w:rsid w:val="000A1E38"/>
    <w:rsid w:val="000A2CD2"/>
    <w:rsid w:val="000A459C"/>
    <w:rsid w:val="000A4677"/>
    <w:rsid w:val="000A514B"/>
    <w:rsid w:val="000A6D6B"/>
    <w:rsid w:val="000B2990"/>
    <w:rsid w:val="000B51B6"/>
    <w:rsid w:val="000C06AF"/>
    <w:rsid w:val="000C242C"/>
    <w:rsid w:val="000C6E31"/>
    <w:rsid w:val="000D738C"/>
    <w:rsid w:val="000F1B82"/>
    <w:rsid w:val="000F6E29"/>
    <w:rsid w:val="001061A1"/>
    <w:rsid w:val="001168DE"/>
    <w:rsid w:val="001213AB"/>
    <w:rsid w:val="00125891"/>
    <w:rsid w:val="00131319"/>
    <w:rsid w:val="00132796"/>
    <w:rsid w:val="001328A6"/>
    <w:rsid w:val="00144ACF"/>
    <w:rsid w:val="00147E47"/>
    <w:rsid w:val="00155D9D"/>
    <w:rsid w:val="001617E5"/>
    <w:rsid w:val="00161B3C"/>
    <w:rsid w:val="00166FE7"/>
    <w:rsid w:val="00171730"/>
    <w:rsid w:val="00172829"/>
    <w:rsid w:val="001740C0"/>
    <w:rsid w:val="001744AA"/>
    <w:rsid w:val="00190268"/>
    <w:rsid w:val="00190E1A"/>
    <w:rsid w:val="00191348"/>
    <w:rsid w:val="001930AA"/>
    <w:rsid w:val="001962D0"/>
    <w:rsid w:val="001A16FA"/>
    <w:rsid w:val="001A3C01"/>
    <w:rsid w:val="001A3D6D"/>
    <w:rsid w:val="001A52EC"/>
    <w:rsid w:val="001C0556"/>
    <w:rsid w:val="001D487A"/>
    <w:rsid w:val="001E65A8"/>
    <w:rsid w:val="001F2FFA"/>
    <w:rsid w:val="001F5F44"/>
    <w:rsid w:val="002023F4"/>
    <w:rsid w:val="002367AB"/>
    <w:rsid w:val="00241373"/>
    <w:rsid w:val="00252E45"/>
    <w:rsid w:val="00253BF9"/>
    <w:rsid w:val="002566B7"/>
    <w:rsid w:val="00261C51"/>
    <w:rsid w:val="00264983"/>
    <w:rsid w:val="00266678"/>
    <w:rsid w:val="00270B4E"/>
    <w:rsid w:val="00271FCC"/>
    <w:rsid w:val="0027299E"/>
    <w:rsid w:val="00273765"/>
    <w:rsid w:val="00276496"/>
    <w:rsid w:val="00280DE5"/>
    <w:rsid w:val="002A05A7"/>
    <w:rsid w:val="002A6C44"/>
    <w:rsid w:val="002A6DFB"/>
    <w:rsid w:val="002D1790"/>
    <w:rsid w:val="002D5293"/>
    <w:rsid w:val="002D7544"/>
    <w:rsid w:val="002D775B"/>
    <w:rsid w:val="003105A0"/>
    <w:rsid w:val="003207FB"/>
    <w:rsid w:val="003260A0"/>
    <w:rsid w:val="00326161"/>
    <w:rsid w:val="00332CCD"/>
    <w:rsid w:val="00332E8C"/>
    <w:rsid w:val="00343A60"/>
    <w:rsid w:val="00346C90"/>
    <w:rsid w:val="00347D6F"/>
    <w:rsid w:val="00356E34"/>
    <w:rsid w:val="00357676"/>
    <w:rsid w:val="00370B27"/>
    <w:rsid w:val="0038385E"/>
    <w:rsid w:val="00392AE9"/>
    <w:rsid w:val="00393EED"/>
    <w:rsid w:val="0039725C"/>
    <w:rsid w:val="003A5C6C"/>
    <w:rsid w:val="003A751F"/>
    <w:rsid w:val="003C3282"/>
    <w:rsid w:val="003C35A1"/>
    <w:rsid w:val="003C3985"/>
    <w:rsid w:val="003D24A2"/>
    <w:rsid w:val="003E7FC3"/>
    <w:rsid w:val="003F1CC3"/>
    <w:rsid w:val="00401EDB"/>
    <w:rsid w:val="00404C93"/>
    <w:rsid w:val="00407877"/>
    <w:rsid w:val="004541DA"/>
    <w:rsid w:val="00455B45"/>
    <w:rsid w:val="00456EDF"/>
    <w:rsid w:val="00470243"/>
    <w:rsid w:val="00473763"/>
    <w:rsid w:val="00474644"/>
    <w:rsid w:val="00490937"/>
    <w:rsid w:val="004969B2"/>
    <w:rsid w:val="0049787B"/>
    <w:rsid w:val="004A23F5"/>
    <w:rsid w:val="004A62FE"/>
    <w:rsid w:val="004A7F75"/>
    <w:rsid w:val="004B1FE9"/>
    <w:rsid w:val="004B3013"/>
    <w:rsid w:val="004B6CAD"/>
    <w:rsid w:val="004C0D46"/>
    <w:rsid w:val="004C37D1"/>
    <w:rsid w:val="004C7EE6"/>
    <w:rsid w:val="004D1212"/>
    <w:rsid w:val="004E1C7D"/>
    <w:rsid w:val="004E1DF9"/>
    <w:rsid w:val="004E22E2"/>
    <w:rsid w:val="004E5BCA"/>
    <w:rsid w:val="004F40D3"/>
    <w:rsid w:val="00512761"/>
    <w:rsid w:val="0051285D"/>
    <w:rsid w:val="00513471"/>
    <w:rsid w:val="00523287"/>
    <w:rsid w:val="00523C13"/>
    <w:rsid w:val="005257C2"/>
    <w:rsid w:val="00531DD6"/>
    <w:rsid w:val="00542533"/>
    <w:rsid w:val="00561D54"/>
    <w:rsid w:val="005624B6"/>
    <w:rsid w:val="00570296"/>
    <w:rsid w:val="0057237F"/>
    <w:rsid w:val="00572433"/>
    <w:rsid w:val="00572CC6"/>
    <w:rsid w:val="00574496"/>
    <w:rsid w:val="005755EF"/>
    <w:rsid w:val="00577402"/>
    <w:rsid w:val="00583CC7"/>
    <w:rsid w:val="00584980"/>
    <w:rsid w:val="00594175"/>
    <w:rsid w:val="005A0F4B"/>
    <w:rsid w:val="005A1D3C"/>
    <w:rsid w:val="005A3F0D"/>
    <w:rsid w:val="005A3F34"/>
    <w:rsid w:val="005B2D03"/>
    <w:rsid w:val="005B43F2"/>
    <w:rsid w:val="005B64E5"/>
    <w:rsid w:val="005B7C23"/>
    <w:rsid w:val="005C1CD4"/>
    <w:rsid w:val="005C5CBF"/>
    <w:rsid w:val="005C659A"/>
    <w:rsid w:val="005D2053"/>
    <w:rsid w:val="005D3397"/>
    <w:rsid w:val="005E1D71"/>
    <w:rsid w:val="005E2325"/>
    <w:rsid w:val="005E3EF9"/>
    <w:rsid w:val="005E3FA8"/>
    <w:rsid w:val="005F3B05"/>
    <w:rsid w:val="0060676E"/>
    <w:rsid w:val="00607E64"/>
    <w:rsid w:val="00625A58"/>
    <w:rsid w:val="00635332"/>
    <w:rsid w:val="00640612"/>
    <w:rsid w:val="0064227D"/>
    <w:rsid w:val="00652D49"/>
    <w:rsid w:val="00655F4A"/>
    <w:rsid w:val="00655FE9"/>
    <w:rsid w:val="00656E13"/>
    <w:rsid w:val="00666367"/>
    <w:rsid w:val="006704BE"/>
    <w:rsid w:val="00670C95"/>
    <w:rsid w:val="00675421"/>
    <w:rsid w:val="00677413"/>
    <w:rsid w:val="0068086D"/>
    <w:rsid w:val="00684D7F"/>
    <w:rsid w:val="006925CE"/>
    <w:rsid w:val="006A766D"/>
    <w:rsid w:val="006B2748"/>
    <w:rsid w:val="006B3C1C"/>
    <w:rsid w:val="006B4D7D"/>
    <w:rsid w:val="006C4176"/>
    <w:rsid w:val="006C66EF"/>
    <w:rsid w:val="006C7C96"/>
    <w:rsid w:val="006D2617"/>
    <w:rsid w:val="006E35D3"/>
    <w:rsid w:val="006F35A9"/>
    <w:rsid w:val="00713BA9"/>
    <w:rsid w:val="00715770"/>
    <w:rsid w:val="0071789F"/>
    <w:rsid w:val="00731146"/>
    <w:rsid w:val="00732AFE"/>
    <w:rsid w:val="00754D11"/>
    <w:rsid w:val="007576F6"/>
    <w:rsid w:val="00767B9D"/>
    <w:rsid w:val="007764A7"/>
    <w:rsid w:val="0078127A"/>
    <w:rsid w:val="00783AF2"/>
    <w:rsid w:val="0078475F"/>
    <w:rsid w:val="00790946"/>
    <w:rsid w:val="00793DA6"/>
    <w:rsid w:val="007A6609"/>
    <w:rsid w:val="007C2AAA"/>
    <w:rsid w:val="007C2CED"/>
    <w:rsid w:val="007D3575"/>
    <w:rsid w:val="007E6789"/>
    <w:rsid w:val="007F54B6"/>
    <w:rsid w:val="007F6382"/>
    <w:rsid w:val="00802988"/>
    <w:rsid w:val="008062EA"/>
    <w:rsid w:val="00807BDE"/>
    <w:rsid w:val="008160BB"/>
    <w:rsid w:val="008203E7"/>
    <w:rsid w:val="00827868"/>
    <w:rsid w:val="0083400B"/>
    <w:rsid w:val="00834296"/>
    <w:rsid w:val="00834E7A"/>
    <w:rsid w:val="00847596"/>
    <w:rsid w:val="00860E40"/>
    <w:rsid w:val="00866993"/>
    <w:rsid w:val="00874366"/>
    <w:rsid w:val="008752BE"/>
    <w:rsid w:val="008762D8"/>
    <w:rsid w:val="0088243F"/>
    <w:rsid w:val="00883194"/>
    <w:rsid w:val="0088735B"/>
    <w:rsid w:val="0089055B"/>
    <w:rsid w:val="00891FC0"/>
    <w:rsid w:val="008A140C"/>
    <w:rsid w:val="008B3973"/>
    <w:rsid w:val="008B492C"/>
    <w:rsid w:val="008B6633"/>
    <w:rsid w:val="008C78ED"/>
    <w:rsid w:val="008D10FD"/>
    <w:rsid w:val="008D122F"/>
    <w:rsid w:val="008D16BD"/>
    <w:rsid w:val="008D3926"/>
    <w:rsid w:val="008D6CD0"/>
    <w:rsid w:val="008F0210"/>
    <w:rsid w:val="008F5D52"/>
    <w:rsid w:val="008F7D2A"/>
    <w:rsid w:val="00900F4F"/>
    <w:rsid w:val="00904F17"/>
    <w:rsid w:val="00922966"/>
    <w:rsid w:val="00937AE3"/>
    <w:rsid w:val="009401D4"/>
    <w:rsid w:val="00943175"/>
    <w:rsid w:val="00947ECD"/>
    <w:rsid w:val="00951171"/>
    <w:rsid w:val="00962333"/>
    <w:rsid w:val="00963A94"/>
    <w:rsid w:val="00964C8D"/>
    <w:rsid w:val="0097288F"/>
    <w:rsid w:val="0098207E"/>
    <w:rsid w:val="00995E11"/>
    <w:rsid w:val="009A1CFF"/>
    <w:rsid w:val="009A5936"/>
    <w:rsid w:val="009B6120"/>
    <w:rsid w:val="009C2F76"/>
    <w:rsid w:val="009D531C"/>
    <w:rsid w:val="009D6050"/>
    <w:rsid w:val="009E72C1"/>
    <w:rsid w:val="009F242A"/>
    <w:rsid w:val="009F2C2E"/>
    <w:rsid w:val="009F3962"/>
    <w:rsid w:val="009F43A9"/>
    <w:rsid w:val="009F5312"/>
    <w:rsid w:val="00A0594A"/>
    <w:rsid w:val="00A074A5"/>
    <w:rsid w:val="00A07AE8"/>
    <w:rsid w:val="00A12C47"/>
    <w:rsid w:val="00A16E83"/>
    <w:rsid w:val="00A2398B"/>
    <w:rsid w:val="00A23E04"/>
    <w:rsid w:val="00A25A1A"/>
    <w:rsid w:val="00A40855"/>
    <w:rsid w:val="00A457E7"/>
    <w:rsid w:val="00A50DC0"/>
    <w:rsid w:val="00A54F39"/>
    <w:rsid w:val="00A643A4"/>
    <w:rsid w:val="00A64578"/>
    <w:rsid w:val="00A66575"/>
    <w:rsid w:val="00A66EDE"/>
    <w:rsid w:val="00A717FE"/>
    <w:rsid w:val="00A72F06"/>
    <w:rsid w:val="00A730F2"/>
    <w:rsid w:val="00A74D37"/>
    <w:rsid w:val="00A77FFD"/>
    <w:rsid w:val="00A86EAF"/>
    <w:rsid w:val="00A91B3F"/>
    <w:rsid w:val="00A95B59"/>
    <w:rsid w:val="00AA06CC"/>
    <w:rsid w:val="00AA4696"/>
    <w:rsid w:val="00AB4554"/>
    <w:rsid w:val="00AC200A"/>
    <w:rsid w:val="00AC47B6"/>
    <w:rsid w:val="00AE0F1E"/>
    <w:rsid w:val="00AE2CAF"/>
    <w:rsid w:val="00AE7134"/>
    <w:rsid w:val="00AF5000"/>
    <w:rsid w:val="00B029AE"/>
    <w:rsid w:val="00B07C1E"/>
    <w:rsid w:val="00B14122"/>
    <w:rsid w:val="00B332B2"/>
    <w:rsid w:val="00B35910"/>
    <w:rsid w:val="00B36EC7"/>
    <w:rsid w:val="00B52383"/>
    <w:rsid w:val="00B5684F"/>
    <w:rsid w:val="00B664EC"/>
    <w:rsid w:val="00B73085"/>
    <w:rsid w:val="00B75584"/>
    <w:rsid w:val="00B75FC3"/>
    <w:rsid w:val="00B8078D"/>
    <w:rsid w:val="00B8657A"/>
    <w:rsid w:val="00BB6642"/>
    <w:rsid w:val="00BC402D"/>
    <w:rsid w:val="00BE32D5"/>
    <w:rsid w:val="00BF0D32"/>
    <w:rsid w:val="00BF3549"/>
    <w:rsid w:val="00BF6991"/>
    <w:rsid w:val="00BF7DDD"/>
    <w:rsid w:val="00C01539"/>
    <w:rsid w:val="00C03593"/>
    <w:rsid w:val="00C21D33"/>
    <w:rsid w:val="00C23208"/>
    <w:rsid w:val="00C23A00"/>
    <w:rsid w:val="00C24D5C"/>
    <w:rsid w:val="00C4377C"/>
    <w:rsid w:val="00C47F0F"/>
    <w:rsid w:val="00C746EA"/>
    <w:rsid w:val="00C74E30"/>
    <w:rsid w:val="00C75865"/>
    <w:rsid w:val="00C76DC0"/>
    <w:rsid w:val="00C82259"/>
    <w:rsid w:val="00C84BBD"/>
    <w:rsid w:val="00C8639B"/>
    <w:rsid w:val="00CA187D"/>
    <w:rsid w:val="00CA54D9"/>
    <w:rsid w:val="00CA596E"/>
    <w:rsid w:val="00CA778D"/>
    <w:rsid w:val="00CB0A99"/>
    <w:rsid w:val="00CC303D"/>
    <w:rsid w:val="00CC4DE0"/>
    <w:rsid w:val="00CD7842"/>
    <w:rsid w:val="00CE13E8"/>
    <w:rsid w:val="00CE3B9F"/>
    <w:rsid w:val="00CE5168"/>
    <w:rsid w:val="00CE6FCF"/>
    <w:rsid w:val="00D010F7"/>
    <w:rsid w:val="00D11CCA"/>
    <w:rsid w:val="00D20BF5"/>
    <w:rsid w:val="00D232AB"/>
    <w:rsid w:val="00D26209"/>
    <w:rsid w:val="00D34DCC"/>
    <w:rsid w:val="00D35C09"/>
    <w:rsid w:val="00D4657A"/>
    <w:rsid w:val="00D54BFD"/>
    <w:rsid w:val="00D86D5F"/>
    <w:rsid w:val="00DA273B"/>
    <w:rsid w:val="00DC1E60"/>
    <w:rsid w:val="00DC28E7"/>
    <w:rsid w:val="00DC2905"/>
    <w:rsid w:val="00DC6622"/>
    <w:rsid w:val="00DC6E91"/>
    <w:rsid w:val="00DD60CC"/>
    <w:rsid w:val="00DE59DA"/>
    <w:rsid w:val="00DF13F9"/>
    <w:rsid w:val="00E01688"/>
    <w:rsid w:val="00E11C93"/>
    <w:rsid w:val="00E14419"/>
    <w:rsid w:val="00E166C3"/>
    <w:rsid w:val="00E20E4F"/>
    <w:rsid w:val="00E22ECA"/>
    <w:rsid w:val="00E24944"/>
    <w:rsid w:val="00E25374"/>
    <w:rsid w:val="00E27437"/>
    <w:rsid w:val="00E32CE3"/>
    <w:rsid w:val="00E33B0E"/>
    <w:rsid w:val="00E4178A"/>
    <w:rsid w:val="00E44425"/>
    <w:rsid w:val="00E52305"/>
    <w:rsid w:val="00E53CB5"/>
    <w:rsid w:val="00E53CCD"/>
    <w:rsid w:val="00E5600E"/>
    <w:rsid w:val="00E5609F"/>
    <w:rsid w:val="00E56258"/>
    <w:rsid w:val="00E70BA5"/>
    <w:rsid w:val="00E71855"/>
    <w:rsid w:val="00E719A9"/>
    <w:rsid w:val="00E84936"/>
    <w:rsid w:val="00E85551"/>
    <w:rsid w:val="00E85B84"/>
    <w:rsid w:val="00EA1DE4"/>
    <w:rsid w:val="00EA60EA"/>
    <w:rsid w:val="00EA66E9"/>
    <w:rsid w:val="00EB2008"/>
    <w:rsid w:val="00EB29BF"/>
    <w:rsid w:val="00EB6724"/>
    <w:rsid w:val="00ED31E8"/>
    <w:rsid w:val="00ED3C69"/>
    <w:rsid w:val="00EE3193"/>
    <w:rsid w:val="00EE6818"/>
    <w:rsid w:val="00EF531F"/>
    <w:rsid w:val="00F003D3"/>
    <w:rsid w:val="00F02422"/>
    <w:rsid w:val="00F03E32"/>
    <w:rsid w:val="00F04A39"/>
    <w:rsid w:val="00F10781"/>
    <w:rsid w:val="00F10DCF"/>
    <w:rsid w:val="00F13023"/>
    <w:rsid w:val="00F24E4E"/>
    <w:rsid w:val="00F42E75"/>
    <w:rsid w:val="00F508A7"/>
    <w:rsid w:val="00F517FA"/>
    <w:rsid w:val="00F52D16"/>
    <w:rsid w:val="00F6059F"/>
    <w:rsid w:val="00F618D5"/>
    <w:rsid w:val="00F63BD9"/>
    <w:rsid w:val="00F6694C"/>
    <w:rsid w:val="00F8145F"/>
    <w:rsid w:val="00F9190A"/>
    <w:rsid w:val="00F96F18"/>
    <w:rsid w:val="00FA248E"/>
    <w:rsid w:val="00FA6374"/>
    <w:rsid w:val="00FB7891"/>
    <w:rsid w:val="00FD33DF"/>
    <w:rsid w:val="00FD635E"/>
    <w:rsid w:val="00FE0D78"/>
    <w:rsid w:val="00FE1FE0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FA9DD"/>
  <w15:docId w15:val="{C504A45B-31DA-4F93-827C-565B7120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basedOn w:val="a0"/>
    <w:uiPriority w:val="99"/>
    <w:semiHidden/>
    <w:unhideWhenUsed/>
    <w:rsid w:val="00E249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494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4944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9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A16E83"/>
    <w:pPr>
      <w:spacing w:before="100" w:beforeAutospacing="1" w:after="100" w:afterAutospacing="1"/>
      <w:jc w:val="left"/>
    </w:pPr>
    <w:rPr>
      <w:szCs w:val="24"/>
    </w:rPr>
  </w:style>
  <w:style w:type="character" w:customStyle="1" w:styleId="rvts9">
    <w:name w:val="rvts9"/>
    <w:basedOn w:val="a0"/>
    <w:rsid w:val="001C0556"/>
  </w:style>
  <w:style w:type="paragraph" w:styleId="afa">
    <w:name w:val="Normal (Web)"/>
    <w:basedOn w:val="a"/>
    <w:uiPriority w:val="99"/>
    <w:semiHidden/>
    <w:unhideWhenUsed/>
    <w:rsid w:val="00166F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b">
    <w:name w:val="Body Text Indent"/>
    <w:basedOn w:val="a"/>
    <w:link w:val="afc"/>
    <w:rsid w:val="001A3C01"/>
    <w:pPr>
      <w:ind w:firstLine="720"/>
    </w:pPr>
    <w:rPr>
      <w:szCs w:val="20"/>
      <w:lang w:eastAsia="en-US"/>
    </w:rPr>
  </w:style>
  <w:style w:type="character" w:customStyle="1" w:styleId="afc">
    <w:name w:val="Основний текст з відступом Знак"/>
    <w:basedOn w:val="a0"/>
    <w:link w:val="afb"/>
    <w:rsid w:val="001A3C01"/>
    <w:rPr>
      <w:rFonts w:ascii="Times New Roman" w:hAnsi="Times New Roman" w:cs="Times New Roman"/>
      <w:sz w:val="28"/>
      <w:szCs w:val="20"/>
    </w:rPr>
  </w:style>
  <w:style w:type="character" w:styleId="afd">
    <w:name w:val="Hyperlink"/>
    <w:basedOn w:val="a0"/>
    <w:uiPriority w:val="99"/>
    <w:unhideWhenUsed/>
    <w:rsid w:val="0047376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3DA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793DA6"/>
    <w:rPr>
      <w:sz w:val="20"/>
      <w:szCs w:val="20"/>
    </w:rPr>
  </w:style>
  <w:style w:type="character" w:customStyle="1" w:styleId="aff">
    <w:name w:val="Текст кінцевої виноски Знак"/>
    <w:basedOn w:val="a0"/>
    <w:link w:val="afe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0">
    <w:name w:val="endnote reference"/>
    <w:basedOn w:val="a0"/>
    <w:uiPriority w:val="99"/>
    <w:semiHidden/>
    <w:unhideWhenUsed/>
    <w:rsid w:val="00793DA6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793DA6"/>
    <w:rPr>
      <w:sz w:val="20"/>
      <w:szCs w:val="20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793DA6"/>
    <w:rPr>
      <w:vertAlign w:val="superscript"/>
    </w:rPr>
  </w:style>
  <w:style w:type="paragraph" w:styleId="aff4">
    <w:name w:val="Body Text"/>
    <w:basedOn w:val="a"/>
    <w:link w:val="aff5"/>
    <w:rsid w:val="009F43A9"/>
    <w:pPr>
      <w:spacing w:after="120"/>
      <w:jc w:val="left"/>
    </w:pPr>
    <w:rPr>
      <w:sz w:val="24"/>
      <w:szCs w:val="24"/>
      <w:lang w:val="ru-RU" w:eastAsia="ru-RU"/>
    </w:rPr>
  </w:style>
  <w:style w:type="character" w:customStyle="1" w:styleId="aff5">
    <w:name w:val="Основний текст Знак"/>
    <w:basedOn w:val="a0"/>
    <w:link w:val="aff4"/>
    <w:rsid w:val="009F43A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6F0A20-C05A-423B-8C09-E125D14E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7275</Words>
  <Characters>4147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Баранова Олена Володимирівна</cp:lastModifiedBy>
  <cp:revision>5</cp:revision>
  <cp:lastPrinted>2016-05-24T11:03:00Z</cp:lastPrinted>
  <dcterms:created xsi:type="dcterms:W3CDTF">2021-10-20T13:56:00Z</dcterms:created>
  <dcterms:modified xsi:type="dcterms:W3CDTF">2021-10-20T14:17:00Z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