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71C34" w14:textId="77777777" w:rsidR="00701F95" w:rsidRPr="00167CC0" w:rsidRDefault="005E4C59" w:rsidP="005109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167CC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Аналіз регуляторного впливу</w:t>
      </w:r>
    </w:p>
    <w:p w14:paraId="5261C3C4" w14:textId="3978A7EA" w:rsidR="00701F95" w:rsidRPr="00167CC0" w:rsidRDefault="005E4C59" w:rsidP="00510963">
      <w:pPr>
        <w:suppressAutoHyphens/>
        <w:spacing w:after="0" w:line="240" w:lineRule="auto"/>
        <w:ind w:right="-105"/>
        <w:jc w:val="center"/>
        <w:rPr>
          <w:rFonts w:ascii="Courier New" w:eastAsia="Arial Unicode MS" w:hAnsi="Courier New" w:cs="Courier New"/>
          <w:b/>
          <w:sz w:val="28"/>
          <w:szCs w:val="28"/>
          <w:lang w:val="uk-UA" w:eastAsia="zh-CN"/>
        </w:rPr>
      </w:pPr>
      <w:r w:rsidRPr="00167CC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проєкту</w:t>
      </w:r>
      <w:r w:rsidR="00701F95" w:rsidRPr="00167CC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9110F2" w:rsidRPr="00167CC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постанови Правління Національного банку України “Про затвердження Положення про визначення методики формування страхових резервів та вимог до методики розрахунку викупної суми та внесення змін до деяких нормативно-правових актів Національного банку України”</w:t>
      </w:r>
      <w:r w:rsidR="00F51756" w:rsidRPr="00167CC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F41C2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="00F51756" w:rsidRPr="00167CC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(далі –</w:t>
      </w:r>
      <w:r w:rsidR="00666592" w:rsidRPr="00167CC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П</w:t>
      </w:r>
      <w:r w:rsidR="00F51756" w:rsidRPr="00167CC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роєкт </w:t>
      </w:r>
      <w:r w:rsidR="00666592" w:rsidRPr="00167CC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</w:t>
      </w:r>
      <w:r w:rsidR="00F51756" w:rsidRPr="00167CC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останови)</w:t>
      </w:r>
    </w:p>
    <w:p w14:paraId="0BA01DFB" w14:textId="77777777" w:rsidR="00701F95" w:rsidRPr="00AC18EF" w:rsidRDefault="00701F95" w:rsidP="00510963">
      <w:pPr>
        <w:suppressAutoHyphens/>
        <w:spacing w:after="0" w:line="240" w:lineRule="auto"/>
        <w:ind w:right="-10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AAEF9E" w14:textId="081705F6" w:rsidR="00701F95" w:rsidRPr="00167CC0" w:rsidRDefault="005E4C59" w:rsidP="00BB6BC0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</w:t>
      </w:r>
      <w:r w:rsidR="00701F95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.</w:t>
      </w:r>
      <w:r w:rsidR="00802BDE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</w:t>
      </w: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Визначення проблеми, яку </w:t>
      </w:r>
      <w:r w:rsidR="00921758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передбачається </w:t>
      </w: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розв’язати шляхом державного регулювання</w:t>
      </w:r>
    </w:p>
    <w:p w14:paraId="57BE52A9" w14:textId="69274343" w:rsidR="009110F2" w:rsidRPr="00AC18EF" w:rsidRDefault="009110F2" w:rsidP="009110F2">
      <w:pPr>
        <w:widowControl w:val="0"/>
        <w:spacing w:after="0" w:line="240" w:lineRule="auto"/>
        <w:ind w:firstLine="68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C18EF">
        <w:rPr>
          <w:rFonts w:ascii="Times New Roman" w:eastAsia="Calibri" w:hAnsi="Times New Roman" w:cs="Times New Roman"/>
          <w:sz w:val="28"/>
          <w:szCs w:val="28"/>
          <w:lang w:val="uk-UA"/>
        </w:rPr>
        <w:t>Національний банк України (далі – Національний банк) відповідно до пункту 8</w:t>
      </w:r>
      <w:r w:rsidRPr="00AC18EF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1</w:t>
      </w:r>
      <w:r w:rsidRPr="00AC1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статті 7 розділу І Закону України “Про Національний банк України” </w:t>
      </w:r>
      <w:r w:rsidR="00F41C25" w:rsidRPr="00AC18EF">
        <w:rPr>
          <w:rFonts w:ascii="Times New Roman" w:eastAsia="Calibri" w:hAnsi="Times New Roman" w:cs="Times New Roman"/>
          <w:sz w:val="28"/>
          <w:szCs w:val="28"/>
          <w:lang w:val="uk-UA"/>
        </w:rPr>
        <w:t>здійсню</w:t>
      </w:r>
      <w:r w:rsidR="00F41C25">
        <w:rPr>
          <w:rFonts w:ascii="Times New Roman" w:eastAsia="Calibri" w:hAnsi="Times New Roman" w:cs="Times New Roman"/>
          <w:sz w:val="28"/>
          <w:szCs w:val="28"/>
          <w:lang w:val="uk-UA"/>
        </w:rPr>
        <w:t>є</w:t>
      </w:r>
      <w:r w:rsidR="00F41C25" w:rsidRPr="00AC1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C1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державне регулювання та нагляд на індивідуальній та консолідованій основі на ринках небанківських фінансових послуг у межах, визначених Законом України “Про фінансові послуги та державне регулювання ринків фінансових послуг” </w:t>
      </w:r>
      <w:r w:rsidR="004855D4" w:rsidRPr="00AC1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(далі – </w:t>
      </w:r>
      <w:r w:rsidR="004855D4"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Законом про фінансові послуги</w:t>
      </w:r>
      <w:r w:rsidR="004855D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</w:t>
      </w:r>
      <w:r w:rsidR="004855D4" w:rsidRPr="00AC1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C18EF">
        <w:rPr>
          <w:rFonts w:ascii="Times New Roman" w:eastAsia="Calibri" w:hAnsi="Times New Roman" w:cs="Times New Roman"/>
          <w:sz w:val="28"/>
          <w:szCs w:val="28"/>
          <w:lang w:val="uk-UA"/>
        </w:rPr>
        <w:t>та іншими законами України.</w:t>
      </w:r>
    </w:p>
    <w:p w14:paraId="3B76082B" w14:textId="368AA234" w:rsidR="009110F2" w:rsidRPr="00AC18EF" w:rsidRDefault="00F41C25" w:rsidP="009110F2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 п</w:t>
      </w:r>
      <w:r w:rsidR="009110F2"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ідпункт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</w:t>
      </w:r>
      <w:r w:rsidR="009110F2"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11 частини першої статті 36 Закону України “Про страхування” (далі ‒ Закон про страхування) визначено, що до основних функцій Національного банку належить, зокрема, встановлення правил формування, обліку і розміщення страхових резервів.</w:t>
      </w:r>
    </w:p>
    <w:p w14:paraId="3A242D3E" w14:textId="02E17BEA" w:rsidR="009110F2" w:rsidRPr="00AC18EF" w:rsidRDefault="009110F2" w:rsidP="009110F2">
      <w:pPr>
        <w:widowControl w:val="0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Крім того, 24.07.2021 набрав чинності Закон України “Про внесення змін до деяких законів України щодо удосконалення правового регулювання страхування сільськогосподарської продукції з державною підтримкою” № 1601-IX від 01.07.2021 (далі – Закон № 1601-IX), яким, </w:t>
      </w:r>
      <w:r w:rsidR="00F41C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зокрема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внесено зміни до статті 30 Закону про страхування, відповідно до якого визначено повноваження Національного банку змінювати перелік страхових резервів та порядок їх розрахунку.</w:t>
      </w:r>
    </w:p>
    <w:p w14:paraId="6B6B9A38" w14:textId="278C58D0" w:rsidR="00757BC0" w:rsidRPr="002725B6" w:rsidRDefault="009110F2" w:rsidP="002725B6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Таким чином, </w:t>
      </w:r>
      <w:r w:rsidR="002D2D1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="002D2D1D"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раховуючи кращ</w:t>
      </w:r>
      <w:r w:rsidR="002D2D1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="002D2D1D"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міжнародн</w:t>
      </w:r>
      <w:r w:rsidR="002D2D1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="002D2D1D"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практик</w:t>
      </w:r>
      <w:r w:rsidR="002D2D1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</w:t>
      </w:r>
      <w:r w:rsidR="002D2D1D"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регулювання страхового ринку та застарілість норм чинних нормативно-правових актів, які не враховують, зокрема, складність та вимоги до окремих видів страхування, </w:t>
      </w:r>
      <w:r w:rsidRPr="00AC18EF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потреби у врегулюванні порядку розрахунку та врахування очікуваних доходів від реалізації переходу до страховика прав страхувальника щодо особи, відповідальної за заподіяні збитки (далі – очікуваних регресів), не встановлюють вимог до даних, які використовує страховик для розрахунку страхових резервів, мають різну термінологію, що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впливає на порядок розрахунку та розмір страхових резервів, </w:t>
      </w:r>
      <w:r w:rsidR="007B020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форм</w:t>
      </w:r>
      <w:r w:rsidR="007B020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ованого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страховиками</w:t>
      </w:r>
      <w:r w:rsidR="00757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="00757BC0" w:rsidRPr="00757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Проєктом постанови пропонується 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врегулювання проблемних питань та </w:t>
      </w:r>
      <w:r w:rsidR="00757BC0" w:rsidRPr="00757B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встановлення єдиних підходів щодо формування технічних резервів за видами страхування, іншими ніж страхування життя, та резервів із страхування життя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3F6AFE4A" w14:textId="4AFCEA64" w:rsidR="008D61DE" w:rsidRPr="00AC18EF" w:rsidRDefault="008D61DE" w:rsidP="009110F2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Зазначені проблеми не можуть виріш</w:t>
      </w:r>
      <w:r w:rsidR="007E5EA9"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уватися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 допомогою ринкових механізмів, оскільки вони стосуються реалізації повноважень Національного банку, визначених Законом про фінансові послуги.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Також проблема не може бути розв’язана за допомогою чинних нормативно-правових актів, оскільки такі акти </w:t>
      </w:r>
      <w:r w:rsidR="00185839"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>неактуальними та потребують перегляду.</w:t>
      </w:r>
    </w:p>
    <w:p w14:paraId="1791E597" w14:textId="0A4B493E" w:rsidR="0072794C" w:rsidRPr="00AC18EF" w:rsidRDefault="00F24052" w:rsidP="009110F2">
      <w:pPr>
        <w:shd w:val="clear" w:color="auto" w:fill="FFFFFF"/>
        <w:spacing w:after="0" w:line="240" w:lineRule="auto"/>
        <w:ind w:firstLine="686"/>
        <w:jc w:val="both"/>
        <w:rPr>
          <w:sz w:val="28"/>
          <w:szCs w:val="28"/>
          <w:lang w:val="uk-UA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Суб’єктами</w:t>
      </w:r>
      <w:r w:rsidR="002D2337"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F62A1"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>на яких поширюється</w:t>
      </w:r>
      <w:r w:rsidR="002D2337"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дія регуляторного акта, є </w:t>
      </w:r>
      <w:r w:rsidR="00C35724"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страховики,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держава.</w:t>
      </w:r>
    </w:p>
    <w:p w14:paraId="2C84F52F" w14:textId="6339571C" w:rsidR="00666592" w:rsidRPr="00AC18EF" w:rsidRDefault="00666592" w:rsidP="009110F2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Проблема, яку пропонується розв’язати шляхом державного регулювання, </w:t>
      </w:r>
      <w:r w:rsidR="0013686F"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>негативн</w:t>
      </w:r>
      <w:r w:rsidR="0013686F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="0013686F"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="0013686F">
        <w:rPr>
          <w:rFonts w:ascii="Times New Roman" w:eastAsia="Times New Roman" w:hAnsi="Times New Roman" w:cs="Times New Roman"/>
          <w:sz w:val="28"/>
          <w:szCs w:val="28"/>
          <w:lang w:val="uk-UA"/>
        </w:rPr>
        <w:t>ає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діяльність страховиків.</w:t>
      </w:r>
    </w:p>
    <w:p w14:paraId="61094398" w14:textId="77777777" w:rsidR="00E63C4A" w:rsidRPr="00AC18EF" w:rsidRDefault="00E63C4A" w:rsidP="009110F2">
      <w:pPr>
        <w:shd w:val="clear" w:color="auto" w:fill="FFFFFF"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957B2B" w14:textId="53FA9D89" w:rsidR="00701F95" w:rsidRPr="00167CC0" w:rsidRDefault="005E4C59" w:rsidP="009110F2">
      <w:pPr>
        <w:pStyle w:val="1"/>
        <w:spacing w:before="0" w:line="240" w:lineRule="auto"/>
        <w:ind w:firstLine="686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ІІ</w:t>
      </w:r>
      <w:r w:rsidR="00701F95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. </w:t>
      </w: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Визначення цілей державного регулювання</w:t>
      </w:r>
      <w:r w:rsidR="00701F95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</w:t>
      </w:r>
    </w:p>
    <w:p w14:paraId="1FA2F345" w14:textId="324CC695" w:rsidR="008561F8" w:rsidRPr="00AC18EF" w:rsidRDefault="008561F8" w:rsidP="009110F2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Цілями державного регулювання, що безпосередньо пов’язані з розв’язанням зазначених проблем, є забезпечення стабільності діяльності страховиків, можливості виконання страховиками своїх зобов’язань та захисту прав споживачів послуг у сфері страхування. </w:t>
      </w:r>
    </w:p>
    <w:p w14:paraId="7F63E893" w14:textId="5E212F27" w:rsidR="0072794C" w:rsidRPr="00757BC0" w:rsidRDefault="0098486B" w:rsidP="009110F2">
      <w:pPr>
        <w:pStyle w:val="20"/>
        <w:spacing w:after="0" w:line="240" w:lineRule="auto"/>
        <w:ind w:left="0" w:firstLine="686"/>
        <w:jc w:val="both"/>
        <w:rPr>
          <w:sz w:val="28"/>
          <w:szCs w:val="28"/>
          <w:lang w:val="uk-UA" w:eastAsia="zh-CN"/>
        </w:rPr>
      </w:pPr>
      <w:r w:rsidRPr="00AC18EF">
        <w:rPr>
          <w:sz w:val="28"/>
          <w:szCs w:val="28"/>
          <w:lang w:val="uk-UA" w:eastAsia="zh-CN"/>
        </w:rPr>
        <w:t xml:space="preserve">Проєкт </w:t>
      </w:r>
      <w:r w:rsidR="00DB0B0A" w:rsidRPr="00AC18EF">
        <w:rPr>
          <w:sz w:val="28"/>
          <w:szCs w:val="28"/>
          <w:lang w:val="uk-UA" w:eastAsia="zh-CN"/>
        </w:rPr>
        <w:t xml:space="preserve">постанови </w:t>
      </w:r>
      <w:r w:rsidRPr="00AC18EF">
        <w:rPr>
          <w:sz w:val="28"/>
          <w:szCs w:val="28"/>
          <w:lang w:val="uk-UA" w:eastAsia="zh-CN"/>
        </w:rPr>
        <w:t xml:space="preserve">розроблено з метою </w:t>
      </w:r>
      <w:r w:rsidR="009110F2" w:rsidRPr="00AC18EF">
        <w:rPr>
          <w:sz w:val="28"/>
          <w:szCs w:val="28"/>
          <w:lang w:val="uk-UA" w:eastAsia="zh-CN"/>
        </w:rPr>
        <w:t xml:space="preserve">встановлення єдиних підходів щодо </w:t>
      </w:r>
      <w:r w:rsidR="007916F0" w:rsidRPr="00757BC0">
        <w:rPr>
          <w:sz w:val="28"/>
          <w:szCs w:val="28"/>
          <w:lang w:val="uk-UA" w:eastAsia="zh-CN"/>
        </w:rPr>
        <w:t>формування технічних резервів за видами страхування, іншими ніж страхування життя, та резервів із страхування життя</w:t>
      </w:r>
      <w:r w:rsidRPr="00757BC0">
        <w:rPr>
          <w:sz w:val="28"/>
          <w:szCs w:val="28"/>
          <w:lang w:val="uk-UA" w:eastAsia="zh-CN"/>
        </w:rPr>
        <w:t>.</w:t>
      </w:r>
    </w:p>
    <w:p w14:paraId="51569C05" w14:textId="77777777" w:rsidR="005E4C59" w:rsidRPr="00AC18EF" w:rsidRDefault="005E4C59" w:rsidP="00510963">
      <w:pPr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2AC3C71" w14:textId="2D661C41" w:rsidR="00701F95" w:rsidRPr="00167CC0" w:rsidRDefault="005E4C59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ІІІ</w:t>
      </w:r>
      <w:r w:rsidR="00701F95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. </w:t>
      </w: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Визначення та оцінка всіх прийнятних альтернативних способів досягнення </w:t>
      </w:r>
      <w:r w:rsidR="00DF3B4A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зазначених цілей, наведення аргументів щодо </w:t>
      </w: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переваг обраного способу</w:t>
      </w:r>
    </w:p>
    <w:p w14:paraId="16DE56A4" w14:textId="7A5EEA49" w:rsidR="0094580F" w:rsidRPr="00AC18EF" w:rsidRDefault="00510963" w:rsidP="0051096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Альтернативним способом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досягнення зазначених цілей</w:t>
      </w:r>
      <w:r w:rsidRPr="00AC18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може бути залишення </w:t>
      </w:r>
      <w:r w:rsidR="001B1E9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чинного</w:t>
      </w:r>
      <w:r w:rsidR="001B1E9F" w:rsidRPr="00AC18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AC18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стану законодавства, що регулює питання </w:t>
      </w:r>
      <w:r w:rsidR="009110F2" w:rsidRPr="00AC18E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формування страхових резервів, вимог до методики розрахунку викупної суми</w:t>
      </w:r>
      <w:r w:rsidR="0027541F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4977F9D" w14:textId="22A6B3E4" w:rsidR="00510963" w:rsidRPr="00AC18EF" w:rsidRDefault="00AF17B8" w:rsidP="0051096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Перевагами такого способу досягнення встановлених цілей є </w:t>
      </w:r>
      <w:r w:rsidR="0094580F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застосування </w:t>
      </w:r>
      <w:r w:rsidR="00BF62A1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страховиками</w:t>
      </w:r>
      <w:r w:rsidR="00D22519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62A1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діючих </w:t>
      </w:r>
      <w:r w:rsidR="00D22519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 </w:t>
      </w:r>
      <w:r w:rsid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законодавчих актів (що пропонуються до визнання такими, що втратили чинність Проєктом постанови)</w:t>
      </w:r>
      <w:r w:rsidR="00D22519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F62A1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яких страхови</w:t>
      </w:r>
      <w:r w:rsidR="00DB0B0A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ки адаптували свою діяльність, </w:t>
      </w:r>
      <w:r w:rsidR="00BF62A1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 w:rsidR="00D22519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напрацювання досвіду Національним банком щодо регулювання </w:t>
      </w:r>
      <w:r w:rsidR="00DB0B0A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питань </w:t>
      </w:r>
      <w:r w:rsid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формування страхових резервів</w:t>
      </w:r>
      <w:r w:rsidR="00D22519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10963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Однак, у </w:t>
      </w:r>
      <w:r w:rsidR="000B2188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такому</w:t>
      </w:r>
      <w:r w:rsidR="00510963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1C7B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разі</w:t>
      </w:r>
      <w:r w:rsidR="00510963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недосконалість законодавства в цій сфері</w:t>
      </w:r>
      <w:r w:rsidR="00BF62A1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E5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відсутність вимог до даних, що використовуються для розрахунку резервів, до вибору методів формування страхових резервів</w:t>
      </w:r>
      <w:r w:rsidR="00DF50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виходячи з відповідності даних страховика </w:t>
      </w:r>
      <w:r w:rsidR="00DF50F2" w:rsidRPr="00DF50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припущенням та вимогам, які застосовуються до відповідного методу</w:t>
      </w:r>
      <w:r w:rsidR="00E5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F50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62A1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наявний </w:t>
      </w:r>
      <w:r w:rsidR="00512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неврегульований порядок врахування очікуваних регресів, </w:t>
      </w:r>
      <w:r w:rsidR="00E5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прогалини </w:t>
      </w:r>
      <w:r w:rsidR="00512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E5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вимогах до порядку </w:t>
      </w:r>
      <w:r w:rsidR="00512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</w:t>
      </w:r>
      <w:r w:rsidR="00E566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12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оцінки адекватності страхових резервів тощо </w:t>
      </w:r>
      <w:r w:rsidR="000B2188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поглиблюватиме проблему з </w:t>
      </w:r>
      <w:r w:rsidR="005121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дефіцитом сформованих резервів</w:t>
      </w:r>
      <w:r w:rsidR="00ED701A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збільшуватиме витрати Національного банку на нагляд, інспектування та розгляд скарг споживачів послуг у сфері страхування</w:t>
      </w:r>
      <w:r w:rsidR="00510963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307653B" w14:textId="3A4B1BEE" w:rsidR="00D22519" w:rsidRPr="00AC18EF" w:rsidRDefault="00D22519" w:rsidP="00D12676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C18EF">
        <w:rPr>
          <w:rFonts w:eastAsia="Times New Roman"/>
          <w:sz w:val="28"/>
          <w:szCs w:val="28"/>
          <w:lang w:eastAsia="ru-RU"/>
        </w:rPr>
        <w:t xml:space="preserve">Іншим способом досягнення встановлених цілей є прийняття запропонованого Проєкту постанови, перевагами якого є якнайшвидше врегулювання норм, які зменшать </w:t>
      </w:r>
      <w:r w:rsidR="00CF1C7B" w:rsidRPr="00AC18EF">
        <w:rPr>
          <w:rFonts w:eastAsia="Times New Roman"/>
          <w:sz w:val="28"/>
          <w:szCs w:val="28"/>
          <w:lang w:eastAsia="ru-RU"/>
        </w:rPr>
        <w:t>і</w:t>
      </w:r>
      <w:r w:rsidRPr="00AC18EF">
        <w:rPr>
          <w:rFonts w:eastAsia="Times New Roman"/>
          <w:sz w:val="28"/>
          <w:szCs w:val="28"/>
          <w:lang w:eastAsia="ru-RU"/>
        </w:rPr>
        <w:t xml:space="preserve">мовірність погіршення фінансового стану та </w:t>
      </w:r>
      <w:r w:rsidR="00AA1865" w:rsidRPr="00AC18EF">
        <w:rPr>
          <w:rFonts w:eastAsia="Times New Roman"/>
          <w:sz w:val="28"/>
          <w:szCs w:val="28"/>
          <w:lang w:eastAsia="ru-RU"/>
        </w:rPr>
        <w:t xml:space="preserve">рівня </w:t>
      </w:r>
      <w:r w:rsidR="00512120">
        <w:rPr>
          <w:rFonts w:eastAsia="Times New Roman"/>
          <w:sz w:val="28"/>
          <w:szCs w:val="28"/>
          <w:lang w:eastAsia="ru-RU"/>
        </w:rPr>
        <w:t>сформованих резервів</w:t>
      </w:r>
      <w:r w:rsidRPr="00AC18EF">
        <w:rPr>
          <w:rFonts w:eastAsia="Times New Roman"/>
          <w:sz w:val="28"/>
          <w:szCs w:val="28"/>
          <w:lang w:eastAsia="ru-RU"/>
        </w:rPr>
        <w:t xml:space="preserve"> страховика</w:t>
      </w:r>
      <w:r w:rsidR="00512120">
        <w:rPr>
          <w:rFonts w:eastAsia="Times New Roman"/>
          <w:sz w:val="28"/>
          <w:szCs w:val="28"/>
          <w:lang w:eastAsia="ru-RU"/>
        </w:rPr>
        <w:t xml:space="preserve"> для виконання страхових зобов’язань</w:t>
      </w:r>
      <w:r w:rsidRPr="00AC18EF">
        <w:rPr>
          <w:rFonts w:eastAsia="Times New Roman"/>
          <w:sz w:val="28"/>
          <w:szCs w:val="28"/>
          <w:lang w:eastAsia="ru-RU"/>
        </w:rPr>
        <w:t xml:space="preserve">, сприятимуть зростанню рівня </w:t>
      </w:r>
      <w:r w:rsidR="00DE3D31">
        <w:rPr>
          <w:rFonts w:eastAsia="Times New Roman"/>
          <w:sz w:val="28"/>
          <w:szCs w:val="28"/>
          <w:lang w:eastAsia="ru-RU"/>
        </w:rPr>
        <w:t>платоспроможності страховиків</w:t>
      </w:r>
      <w:r w:rsidR="004413B4">
        <w:rPr>
          <w:rFonts w:eastAsia="Times New Roman"/>
          <w:sz w:val="28"/>
          <w:szCs w:val="28"/>
          <w:lang w:eastAsia="ru-RU"/>
        </w:rPr>
        <w:t>, а надалі</w:t>
      </w:r>
      <w:r w:rsidR="00DE3D31">
        <w:rPr>
          <w:rFonts w:eastAsia="Times New Roman"/>
          <w:sz w:val="28"/>
          <w:szCs w:val="28"/>
          <w:lang w:eastAsia="ru-RU"/>
        </w:rPr>
        <w:t xml:space="preserve"> </w:t>
      </w:r>
      <w:r w:rsidRPr="00AC18EF">
        <w:rPr>
          <w:rFonts w:eastAsia="Times New Roman"/>
          <w:sz w:val="28"/>
          <w:szCs w:val="28"/>
          <w:lang w:eastAsia="ru-RU"/>
        </w:rPr>
        <w:t xml:space="preserve">довіри </w:t>
      </w:r>
      <w:r w:rsidR="00A867A3" w:rsidRPr="00AC18EF">
        <w:rPr>
          <w:rFonts w:eastAsia="Times New Roman"/>
          <w:sz w:val="28"/>
          <w:szCs w:val="28"/>
          <w:lang w:eastAsia="ru-RU"/>
        </w:rPr>
        <w:t xml:space="preserve">суспільства </w:t>
      </w:r>
      <w:r w:rsidR="00512120">
        <w:rPr>
          <w:rFonts w:eastAsia="Times New Roman"/>
          <w:sz w:val="28"/>
          <w:szCs w:val="28"/>
          <w:lang w:eastAsia="ru-RU"/>
        </w:rPr>
        <w:t>до страховиків та їхніх послуг</w:t>
      </w:r>
      <w:r w:rsidR="00344040" w:rsidRPr="00AC18EF">
        <w:rPr>
          <w:rFonts w:eastAsia="Times New Roman"/>
          <w:sz w:val="28"/>
          <w:szCs w:val="28"/>
          <w:lang w:eastAsia="ru-RU"/>
        </w:rPr>
        <w:t xml:space="preserve">. Недоліками такого способу є </w:t>
      </w:r>
      <w:r w:rsidR="00CF1C7B" w:rsidRPr="00AC18EF">
        <w:rPr>
          <w:rFonts w:eastAsia="Times New Roman"/>
          <w:sz w:val="28"/>
          <w:szCs w:val="28"/>
          <w:lang w:eastAsia="ru-RU"/>
        </w:rPr>
        <w:t>потреба</w:t>
      </w:r>
      <w:r w:rsidR="00344040" w:rsidRPr="00AC18EF">
        <w:rPr>
          <w:rFonts w:eastAsia="Times New Roman"/>
          <w:sz w:val="28"/>
          <w:szCs w:val="28"/>
          <w:lang w:eastAsia="ru-RU"/>
        </w:rPr>
        <w:t xml:space="preserve"> страховиків</w:t>
      </w:r>
      <w:r w:rsidR="00594901">
        <w:rPr>
          <w:rFonts w:eastAsia="Times New Roman"/>
          <w:sz w:val="28"/>
          <w:szCs w:val="28"/>
          <w:lang w:eastAsia="ru-RU"/>
        </w:rPr>
        <w:t xml:space="preserve"> </w:t>
      </w:r>
      <w:r w:rsidR="004D5C8D">
        <w:rPr>
          <w:rFonts w:eastAsia="Times New Roman"/>
          <w:sz w:val="28"/>
          <w:szCs w:val="28"/>
          <w:lang w:eastAsia="ru-RU"/>
        </w:rPr>
        <w:t>у</w:t>
      </w:r>
      <w:r w:rsidR="004D5C8D" w:rsidRPr="00AC18EF">
        <w:rPr>
          <w:rFonts w:eastAsia="Times New Roman"/>
          <w:sz w:val="28"/>
          <w:szCs w:val="28"/>
          <w:lang w:eastAsia="ru-RU"/>
        </w:rPr>
        <w:t xml:space="preserve"> </w:t>
      </w:r>
      <w:r w:rsidR="00512120">
        <w:rPr>
          <w:rFonts w:eastAsia="Times New Roman"/>
          <w:sz w:val="28"/>
          <w:szCs w:val="28"/>
          <w:lang w:eastAsia="ru-RU"/>
        </w:rPr>
        <w:t>можлив</w:t>
      </w:r>
      <w:r w:rsidR="00594901">
        <w:rPr>
          <w:rFonts w:eastAsia="Times New Roman"/>
          <w:sz w:val="28"/>
          <w:szCs w:val="28"/>
          <w:lang w:eastAsia="ru-RU"/>
        </w:rPr>
        <w:t>ому</w:t>
      </w:r>
      <w:r w:rsidR="00512120">
        <w:rPr>
          <w:rFonts w:eastAsia="Times New Roman"/>
          <w:sz w:val="28"/>
          <w:szCs w:val="28"/>
          <w:lang w:eastAsia="ru-RU"/>
        </w:rPr>
        <w:t xml:space="preserve"> приведенн</w:t>
      </w:r>
      <w:r w:rsidR="00594901">
        <w:rPr>
          <w:rFonts w:eastAsia="Times New Roman"/>
          <w:sz w:val="28"/>
          <w:szCs w:val="28"/>
          <w:lang w:eastAsia="ru-RU"/>
        </w:rPr>
        <w:t>і своєї</w:t>
      </w:r>
      <w:r w:rsidR="00BF62A1" w:rsidRPr="00AC18EF">
        <w:rPr>
          <w:rFonts w:eastAsia="Times New Roman"/>
          <w:sz w:val="28"/>
          <w:szCs w:val="28"/>
          <w:lang w:eastAsia="ru-RU"/>
        </w:rPr>
        <w:t xml:space="preserve"> </w:t>
      </w:r>
      <w:r w:rsidR="00F80907" w:rsidRPr="00AC18EF">
        <w:rPr>
          <w:rFonts w:eastAsia="Times New Roman"/>
          <w:sz w:val="28"/>
          <w:szCs w:val="28"/>
          <w:lang w:eastAsia="ru-RU"/>
        </w:rPr>
        <w:t xml:space="preserve">діяльності </w:t>
      </w:r>
      <w:r w:rsidR="004D5C8D" w:rsidRPr="00AC18EF">
        <w:rPr>
          <w:rFonts w:eastAsia="Times New Roman"/>
          <w:sz w:val="28"/>
          <w:szCs w:val="28"/>
          <w:lang w:eastAsia="ru-RU"/>
        </w:rPr>
        <w:t>відповідн</w:t>
      </w:r>
      <w:r w:rsidR="004D5C8D">
        <w:rPr>
          <w:rFonts w:eastAsia="Times New Roman"/>
          <w:sz w:val="28"/>
          <w:szCs w:val="28"/>
          <w:lang w:eastAsia="ru-RU"/>
        </w:rPr>
        <w:t>о</w:t>
      </w:r>
      <w:r w:rsidR="004D5C8D" w:rsidRPr="00AC18EF">
        <w:rPr>
          <w:rFonts w:eastAsia="Times New Roman"/>
          <w:sz w:val="28"/>
          <w:szCs w:val="28"/>
          <w:lang w:eastAsia="ru-RU"/>
        </w:rPr>
        <w:t xml:space="preserve"> </w:t>
      </w:r>
      <w:r w:rsidR="00F80907" w:rsidRPr="00AC18EF">
        <w:rPr>
          <w:rFonts w:eastAsia="Times New Roman"/>
          <w:sz w:val="28"/>
          <w:szCs w:val="28"/>
          <w:lang w:eastAsia="ru-RU"/>
        </w:rPr>
        <w:t xml:space="preserve">до вимог </w:t>
      </w:r>
      <w:r w:rsidR="00D12676" w:rsidRPr="00AC18EF">
        <w:rPr>
          <w:sz w:val="28"/>
          <w:szCs w:val="28"/>
          <w:lang w:eastAsia="zh-CN"/>
        </w:rPr>
        <w:t>Проєкт</w:t>
      </w:r>
      <w:r w:rsidR="007227FE" w:rsidRPr="00AC18EF">
        <w:rPr>
          <w:sz w:val="28"/>
          <w:szCs w:val="28"/>
          <w:lang w:eastAsia="zh-CN"/>
        </w:rPr>
        <w:t>у</w:t>
      </w:r>
      <w:r w:rsidR="00D12676" w:rsidRPr="00AC18EF">
        <w:rPr>
          <w:sz w:val="28"/>
          <w:szCs w:val="28"/>
          <w:lang w:eastAsia="zh-CN"/>
        </w:rPr>
        <w:t xml:space="preserve"> постанови</w:t>
      </w:r>
      <w:r w:rsidR="00F80907" w:rsidRPr="00AC18EF">
        <w:rPr>
          <w:rFonts w:eastAsia="Times New Roman"/>
          <w:sz w:val="28"/>
          <w:szCs w:val="28"/>
          <w:lang w:eastAsia="ru-RU"/>
        </w:rPr>
        <w:t>.</w:t>
      </w:r>
    </w:p>
    <w:p w14:paraId="2DC365F2" w14:textId="3F645829" w:rsidR="00ED701A" w:rsidRPr="00AC18EF" w:rsidRDefault="00510963" w:rsidP="00ED701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Тому </w:t>
      </w:r>
      <w:r w:rsidR="00ED701A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Національний банк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867A3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урахуванням положень Закону </w:t>
      </w:r>
      <w:r w:rsidR="006E1129" w:rsidRPr="006E11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від 12 </w:t>
      </w:r>
      <w:r w:rsidR="006E1129" w:rsidRPr="006E11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вересня 2019 року № 79-IX “Про внесення змін до деяких законодавчих актів України щодо удосконалення функцій із державного регулювання ринків фінансових послуг”</w:t>
      </w:r>
      <w:r w:rsidR="006E11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</w:t>
      </w:r>
      <w:r w:rsidR="00ED701A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666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варіант прийняття запропонованого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D22519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</w:t>
      </w:r>
      <w:r w:rsidR="00F2666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регуляторного акта як найкращий спосіб досягнення зазначених цілей. </w:t>
      </w:r>
    </w:p>
    <w:p w14:paraId="3C2AC2C4" w14:textId="77777777" w:rsidR="005E4C59" w:rsidRPr="00AC18EF" w:rsidRDefault="005E4C59" w:rsidP="00510963">
      <w:pPr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F7EA87A" w14:textId="49389AAE" w:rsidR="005E4C59" w:rsidRPr="00167CC0" w:rsidRDefault="005E4C59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ІV</w:t>
      </w:r>
      <w:r w:rsidR="00701F95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. </w:t>
      </w: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Опис механізм</w:t>
      </w:r>
      <w:r w:rsidR="00455389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у, </w:t>
      </w: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як</w:t>
      </w:r>
      <w:r w:rsidR="009110F2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ий пропонується застосувати для</w:t>
      </w:r>
      <w:r w:rsidR="00A056A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розв’язання </w:t>
      </w: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проблеми</w:t>
      </w:r>
      <w:r w:rsidR="00455389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, і відповідні заходи</w:t>
      </w:r>
    </w:p>
    <w:p w14:paraId="31334D51" w14:textId="189F14A7" w:rsidR="00AC18EF" w:rsidRPr="00AC18EF" w:rsidRDefault="00AC18EF" w:rsidP="00AC18E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8EF">
        <w:rPr>
          <w:sz w:val="28"/>
          <w:szCs w:val="28"/>
        </w:rPr>
        <w:t xml:space="preserve">Проєктом постанови передбачено затвердження </w:t>
      </w:r>
      <w:r w:rsidRPr="00AC18EF">
        <w:rPr>
          <w:rFonts w:eastAsia="SimSun"/>
          <w:sz w:val="28"/>
          <w:szCs w:val="28"/>
        </w:rPr>
        <w:t>Положення про визначення методики формування страхових резервів та вимог до методики розрахунку викупної суми</w:t>
      </w:r>
      <w:r w:rsidRPr="00AC18EF">
        <w:rPr>
          <w:sz w:val="28"/>
          <w:szCs w:val="28"/>
        </w:rPr>
        <w:t>.</w:t>
      </w:r>
    </w:p>
    <w:p w14:paraId="1829EA6E" w14:textId="0B25FFDE" w:rsidR="00AC18EF" w:rsidRPr="00AC18EF" w:rsidRDefault="00323685" w:rsidP="00AC18E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Зі свого боку</w:t>
      </w:r>
      <w:r w:rsidR="00AC18EF" w:rsidRPr="00AC18EF">
        <w:rPr>
          <w:sz w:val="28"/>
          <w:szCs w:val="28"/>
        </w:rPr>
        <w:t xml:space="preserve">, Положення </w:t>
      </w:r>
      <w:r w:rsidR="00887007" w:rsidRPr="00AC18EF">
        <w:rPr>
          <w:sz w:val="28"/>
          <w:szCs w:val="28"/>
        </w:rPr>
        <w:t>встановлю</w:t>
      </w:r>
      <w:r w:rsidR="00887007">
        <w:rPr>
          <w:sz w:val="28"/>
          <w:szCs w:val="28"/>
        </w:rPr>
        <w:t>є</w:t>
      </w:r>
      <w:r w:rsidR="002C4113">
        <w:rPr>
          <w:sz w:val="28"/>
          <w:szCs w:val="28"/>
        </w:rPr>
        <w:t xml:space="preserve"> таке</w:t>
      </w:r>
      <w:r w:rsidR="00AC18EF" w:rsidRPr="00AC18EF">
        <w:rPr>
          <w:sz w:val="28"/>
          <w:szCs w:val="28"/>
        </w:rPr>
        <w:t xml:space="preserve">: </w:t>
      </w:r>
    </w:p>
    <w:p w14:paraId="1B1334D0" w14:textId="607BD944" w:rsidR="00AC18EF" w:rsidRPr="00AC18EF" w:rsidRDefault="00A72D41" w:rsidP="00AC18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термінологі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AC18EF" w:rsidRPr="00AC18EF">
        <w:rPr>
          <w:rFonts w:ascii="Times New Roman" w:eastAsia="Times New Roman" w:hAnsi="Times New Roman" w:cs="Times New Roman"/>
          <w:sz w:val="28"/>
          <w:szCs w:val="28"/>
          <w:lang w:val="uk-UA"/>
        </w:rPr>
        <w:t>, що є спільною як для страховиків, що здійснюють страхування життя, так і для страховиків, що здійснюють страхування інше, ніж страхування життя;</w:t>
      </w:r>
    </w:p>
    <w:p w14:paraId="4ADDC18A" w14:textId="77777777" w:rsidR="00AC18EF" w:rsidRPr="00AC18EF" w:rsidRDefault="00AC18EF" w:rsidP="00AC18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AC18EF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вимоги до якості даних, що використовуються для розрахунку страхових резервів;</w:t>
      </w:r>
    </w:p>
    <w:p w14:paraId="3856AAE4" w14:textId="77777777" w:rsidR="00AC18EF" w:rsidRPr="00AC18EF" w:rsidRDefault="00AC18EF" w:rsidP="00AC18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AC18EF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перелік видів страхових резервів, методи, умови та порядок їх застосування для розрахунку страхових резервів;</w:t>
      </w:r>
    </w:p>
    <w:p w14:paraId="6FE6CBE9" w14:textId="77777777" w:rsidR="00AC18EF" w:rsidRPr="00AC18EF" w:rsidRDefault="00AC18EF" w:rsidP="00AC18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AC18EF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умови та порядок </w:t>
      </w:r>
      <w:r w:rsidRPr="00AC18EF">
        <w:rPr>
          <w:rFonts w:ascii="Times New Roman" w:hAnsi="Times New Roman"/>
          <w:bCs/>
          <w:sz w:val="28"/>
          <w:szCs w:val="28"/>
          <w:lang w:val="uk-UA"/>
        </w:rPr>
        <w:t>формування очікуваних регресів;</w:t>
      </w:r>
      <w:r w:rsidRPr="00AC18EF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</w:p>
    <w:p w14:paraId="042996BE" w14:textId="77777777" w:rsidR="00AC18EF" w:rsidRPr="00AC18EF" w:rsidRDefault="00AC18EF" w:rsidP="00AC18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AC18EF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порядок перевірки адекватності страхових резервів;</w:t>
      </w:r>
    </w:p>
    <w:p w14:paraId="4A88BC7B" w14:textId="77777777" w:rsidR="00AC18EF" w:rsidRPr="00AC18EF" w:rsidRDefault="00AC18EF" w:rsidP="00AC18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C18EF">
        <w:rPr>
          <w:rFonts w:ascii="Times New Roman" w:hAnsi="Times New Roman"/>
          <w:bCs/>
          <w:sz w:val="28"/>
          <w:szCs w:val="28"/>
          <w:lang w:val="uk-UA"/>
        </w:rPr>
        <w:t>вимоги до методики розрахунку викупної суми за договорами страхування життя;</w:t>
      </w:r>
    </w:p>
    <w:p w14:paraId="7AB3A321" w14:textId="77777777" w:rsidR="00AC18EF" w:rsidRPr="00AC18EF" w:rsidRDefault="00AC18EF" w:rsidP="00AC18E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C18EF">
        <w:rPr>
          <w:rFonts w:ascii="Times New Roman" w:hAnsi="Times New Roman"/>
          <w:bCs/>
          <w:sz w:val="28"/>
          <w:szCs w:val="28"/>
          <w:lang w:val="uk-UA"/>
        </w:rPr>
        <w:t>вимоги до внутрішньої політики формування страхових резервів та до порядку документування результатів розрахунку страхових резервів.</w:t>
      </w:r>
    </w:p>
    <w:p w14:paraId="58863122" w14:textId="156556B3" w:rsidR="00AC18EF" w:rsidRPr="00AC18EF" w:rsidRDefault="00AC18EF" w:rsidP="00AC18E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</w:pPr>
      <w:r w:rsidRPr="00AC18EF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Ступінь ефективності регуляторного акта оцінювати</w:t>
      </w:r>
      <w:r w:rsidR="00885843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меть</w:t>
      </w:r>
      <w:r w:rsidRPr="00AC18EF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ся за результатами аналізу збільшення розміру сформованих страхових резервів страховиками, обсягу інформації про сформовані страхові </w:t>
      </w:r>
      <w:bookmarkStart w:id="0" w:name="_GoBack"/>
      <w:bookmarkEnd w:id="0"/>
      <w:r w:rsidR="006E1129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резерви </w:t>
      </w:r>
      <w:r w:rsidR="002C4113" w:rsidRPr="002C4113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п</w:t>
      </w:r>
      <w:r w:rsidR="002C4113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ід час</w:t>
      </w:r>
      <w:r w:rsidR="002C4113" w:rsidRPr="002C4113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розкритт</w:t>
      </w:r>
      <w:r w:rsidR="002C4113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я</w:t>
      </w:r>
      <w:r w:rsidR="002C4113" w:rsidRPr="002C4113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r w:rsidR="0096699B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в</w:t>
      </w:r>
      <w:r w:rsidR="0096699B" w:rsidRPr="002C4113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 xml:space="preserve"> </w:t>
      </w:r>
      <w:r w:rsidRPr="002C4113">
        <w:rPr>
          <w:rFonts w:ascii="Times New Roman" w:eastAsiaTheme="minorEastAsia" w:hAnsi="Times New Roman" w:cs="Times New Roman"/>
          <w:sz w:val="28"/>
          <w:szCs w:val="28"/>
          <w:lang w:val="uk-UA" w:eastAsia="uk-UA"/>
        </w:rPr>
        <w:t>звітності страховиків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5F3AA03" w14:textId="77777777" w:rsidR="00805DD8" w:rsidRPr="00AC18EF" w:rsidRDefault="00805DD8" w:rsidP="00510963">
      <w:pPr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FCE258E" w14:textId="23DAD58D" w:rsidR="00701F95" w:rsidRPr="00167CC0" w:rsidRDefault="005E4C59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V</w:t>
      </w:r>
      <w:r w:rsidR="00701F95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. </w:t>
      </w: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Обґрунтування можливості досягнення </w:t>
      </w:r>
      <w:r w:rsidR="00455389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визначених </w:t>
      </w:r>
      <w:r w:rsidR="00A056A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цілей у разі прийняття </w:t>
      </w: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регуляторного акта</w:t>
      </w:r>
    </w:p>
    <w:p w14:paraId="3283AB14" w14:textId="67FB632F" w:rsidR="00701F95" w:rsidRPr="00AC18EF" w:rsidRDefault="00457BB5" w:rsidP="00457BB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8EF">
        <w:rPr>
          <w:sz w:val="28"/>
          <w:szCs w:val="28"/>
        </w:rPr>
        <w:t xml:space="preserve">Вимоги регуляторного акта обов’язкові </w:t>
      </w:r>
      <w:r w:rsidR="009B3A13">
        <w:rPr>
          <w:sz w:val="28"/>
          <w:szCs w:val="28"/>
        </w:rPr>
        <w:t>до</w:t>
      </w:r>
      <w:r w:rsidR="009B3A13" w:rsidRPr="00AC18EF">
        <w:rPr>
          <w:sz w:val="28"/>
          <w:szCs w:val="28"/>
        </w:rPr>
        <w:t xml:space="preserve"> </w:t>
      </w:r>
      <w:r w:rsidRPr="00AC18EF">
        <w:rPr>
          <w:sz w:val="28"/>
          <w:szCs w:val="28"/>
        </w:rPr>
        <w:t xml:space="preserve">виконання </w:t>
      </w:r>
      <w:r w:rsidR="00F37A24" w:rsidRPr="00AC18EF">
        <w:rPr>
          <w:sz w:val="28"/>
          <w:szCs w:val="28"/>
        </w:rPr>
        <w:t xml:space="preserve">усіма </w:t>
      </w:r>
      <w:r w:rsidRPr="00AC18EF">
        <w:rPr>
          <w:sz w:val="28"/>
          <w:szCs w:val="28"/>
        </w:rPr>
        <w:t xml:space="preserve">страховиками. Ризик </w:t>
      </w:r>
      <w:r w:rsidR="00F37A24" w:rsidRPr="00AC18EF">
        <w:rPr>
          <w:sz w:val="28"/>
          <w:szCs w:val="28"/>
        </w:rPr>
        <w:t xml:space="preserve">як </w:t>
      </w:r>
      <w:r w:rsidRPr="00AC18EF">
        <w:rPr>
          <w:sz w:val="28"/>
          <w:szCs w:val="28"/>
        </w:rPr>
        <w:t>негативного</w:t>
      </w:r>
      <w:r w:rsidR="00F37A24" w:rsidRPr="00AC18EF">
        <w:rPr>
          <w:sz w:val="28"/>
          <w:szCs w:val="28"/>
        </w:rPr>
        <w:t>, так і позитивного</w:t>
      </w:r>
      <w:r w:rsidRPr="00AC18EF">
        <w:rPr>
          <w:sz w:val="28"/>
          <w:szCs w:val="28"/>
        </w:rPr>
        <w:t xml:space="preserve"> впливу зовнішніх </w:t>
      </w:r>
      <w:r w:rsidR="00CF1C7B" w:rsidRPr="00AC18EF">
        <w:rPr>
          <w:sz w:val="28"/>
          <w:szCs w:val="28"/>
        </w:rPr>
        <w:t>чинників</w:t>
      </w:r>
      <w:r w:rsidRPr="00AC18EF">
        <w:rPr>
          <w:sz w:val="28"/>
          <w:szCs w:val="28"/>
        </w:rPr>
        <w:t xml:space="preserve"> на дію цього регуляторного акта потенційно зумовлюється</w:t>
      </w:r>
      <w:r w:rsidR="00FC25EA">
        <w:rPr>
          <w:sz w:val="28"/>
          <w:szCs w:val="28"/>
        </w:rPr>
        <w:t>,</w:t>
      </w:r>
      <w:r w:rsidRPr="00AC18EF">
        <w:rPr>
          <w:sz w:val="28"/>
          <w:szCs w:val="28"/>
        </w:rPr>
        <w:t xml:space="preserve"> головним чином</w:t>
      </w:r>
      <w:r w:rsidR="00FC25EA">
        <w:rPr>
          <w:sz w:val="28"/>
          <w:szCs w:val="28"/>
        </w:rPr>
        <w:t>,</w:t>
      </w:r>
      <w:r w:rsidRPr="00AC18EF">
        <w:rPr>
          <w:sz w:val="28"/>
          <w:szCs w:val="28"/>
        </w:rPr>
        <w:t xml:space="preserve"> змінами в законодавчих актах України, що може призвести до </w:t>
      </w:r>
      <w:r w:rsidR="00936CF6" w:rsidRPr="00AC18EF">
        <w:rPr>
          <w:sz w:val="28"/>
          <w:szCs w:val="28"/>
        </w:rPr>
        <w:t>потреби</w:t>
      </w:r>
      <w:r w:rsidRPr="00AC18EF">
        <w:rPr>
          <w:sz w:val="28"/>
          <w:szCs w:val="28"/>
        </w:rPr>
        <w:t xml:space="preserve"> внесення змін до </w:t>
      </w:r>
      <w:r w:rsidR="00936CF6" w:rsidRPr="00AC18EF">
        <w:rPr>
          <w:sz w:val="28"/>
          <w:szCs w:val="28"/>
        </w:rPr>
        <w:t>цього</w:t>
      </w:r>
      <w:r w:rsidRPr="00AC18EF">
        <w:rPr>
          <w:sz w:val="28"/>
          <w:szCs w:val="28"/>
        </w:rPr>
        <w:t xml:space="preserve"> регуляторного акта.</w:t>
      </w:r>
    </w:p>
    <w:p w14:paraId="0046E6BA" w14:textId="122D68A5" w:rsidR="005E6253" w:rsidRPr="00AC18EF" w:rsidRDefault="003C2318" w:rsidP="005E625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AC18EF">
        <w:rPr>
          <w:sz w:val="28"/>
          <w:szCs w:val="28"/>
        </w:rPr>
        <w:t xml:space="preserve">провадження </w:t>
      </w:r>
      <w:r w:rsidR="005E6253" w:rsidRPr="00AC18EF">
        <w:rPr>
          <w:sz w:val="28"/>
          <w:szCs w:val="28"/>
        </w:rPr>
        <w:t>вимог такого регуляторного акта не потребує додаткових витрат Національного банку, оскільки здійснюється в межах його повноважень.</w:t>
      </w:r>
    </w:p>
    <w:p w14:paraId="260E5271" w14:textId="550C87DA" w:rsidR="00CE776B" w:rsidRPr="00AC18EF" w:rsidRDefault="002936DF" w:rsidP="005E6253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C18EF">
        <w:rPr>
          <w:rFonts w:eastAsia="Times New Roman"/>
          <w:sz w:val="28"/>
          <w:szCs w:val="28"/>
          <w:lang w:eastAsia="ru-RU"/>
        </w:rPr>
        <w:t>З</w:t>
      </w:r>
      <w:r w:rsidR="00CE776B" w:rsidRPr="00AC18EF">
        <w:rPr>
          <w:rFonts w:eastAsia="Times New Roman"/>
          <w:sz w:val="28"/>
          <w:szCs w:val="28"/>
          <w:lang w:eastAsia="ru-RU"/>
        </w:rPr>
        <w:t>дійснення державного контролю та нагляду за додержанням вимог акта</w:t>
      </w:r>
      <w:r w:rsidRPr="00AC18EF">
        <w:rPr>
          <w:rFonts w:eastAsia="Times New Roman"/>
          <w:sz w:val="28"/>
          <w:szCs w:val="28"/>
          <w:lang w:eastAsia="ru-RU"/>
        </w:rPr>
        <w:t xml:space="preserve"> відбуватиметься в </w:t>
      </w:r>
      <w:r w:rsidR="005E1D8F" w:rsidRPr="00AC18EF">
        <w:rPr>
          <w:rFonts w:eastAsia="Times New Roman"/>
          <w:sz w:val="28"/>
          <w:szCs w:val="28"/>
          <w:lang w:eastAsia="ru-RU"/>
        </w:rPr>
        <w:t>межах</w:t>
      </w:r>
      <w:r w:rsidRPr="00AC18EF">
        <w:rPr>
          <w:rFonts w:eastAsia="Times New Roman"/>
          <w:sz w:val="28"/>
          <w:szCs w:val="28"/>
          <w:lang w:eastAsia="ru-RU"/>
        </w:rPr>
        <w:t xml:space="preserve"> здійснення Національним банком наглядової діяльності на страховому ринку.</w:t>
      </w:r>
    </w:p>
    <w:p w14:paraId="0E7D8B7A" w14:textId="77777777" w:rsidR="005E4C59" w:rsidRPr="00AC18EF" w:rsidRDefault="005E4C59" w:rsidP="00510963">
      <w:pPr>
        <w:widowControl w:val="0"/>
        <w:tabs>
          <w:tab w:val="left" w:pos="683"/>
        </w:tabs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15C734F" w14:textId="08F507FA" w:rsidR="00701F95" w:rsidRPr="00167CC0" w:rsidRDefault="005E4C59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lastRenderedPageBreak/>
        <w:t>VI</w:t>
      </w:r>
      <w:r w:rsidR="00701F95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. </w:t>
      </w: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Визначення очікуваних результатів прийняття акта</w:t>
      </w:r>
    </w:p>
    <w:p w14:paraId="00C78958" w14:textId="67238474" w:rsidR="00AC18EF" w:rsidRPr="00AC18EF" w:rsidRDefault="00AC18EF" w:rsidP="00AC18E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8EF">
        <w:rPr>
          <w:sz w:val="28"/>
          <w:szCs w:val="28"/>
        </w:rPr>
        <w:t xml:space="preserve">Прийняття </w:t>
      </w:r>
      <w:r w:rsidR="00512120">
        <w:rPr>
          <w:sz w:val="28"/>
          <w:szCs w:val="28"/>
        </w:rPr>
        <w:t>П</w:t>
      </w:r>
      <w:r w:rsidRPr="00AC18EF">
        <w:rPr>
          <w:sz w:val="28"/>
          <w:szCs w:val="28"/>
        </w:rPr>
        <w:t xml:space="preserve">роєкту </w:t>
      </w:r>
      <w:r w:rsidR="00512120">
        <w:rPr>
          <w:sz w:val="28"/>
          <w:szCs w:val="28"/>
        </w:rPr>
        <w:t>п</w:t>
      </w:r>
      <w:r w:rsidRPr="00AC18EF">
        <w:rPr>
          <w:sz w:val="28"/>
          <w:szCs w:val="28"/>
        </w:rPr>
        <w:t>останови забезпечить</w:t>
      </w:r>
      <w:r w:rsidR="00640932">
        <w:rPr>
          <w:sz w:val="28"/>
          <w:szCs w:val="28"/>
        </w:rPr>
        <w:t xml:space="preserve"> таке</w:t>
      </w:r>
      <w:r w:rsidRPr="00AC18EF">
        <w:rPr>
          <w:sz w:val="28"/>
          <w:szCs w:val="28"/>
        </w:rPr>
        <w:t>:</w:t>
      </w:r>
    </w:p>
    <w:p w14:paraId="01ECB8A0" w14:textId="6A16AC21" w:rsidR="00AC18EF" w:rsidRPr="00AC18EF" w:rsidRDefault="00AC18EF" w:rsidP="00AC18E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8EF">
        <w:rPr>
          <w:sz w:val="28"/>
          <w:szCs w:val="28"/>
        </w:rPr>
        <w:t xml:space="preserve">уніфіковані підходи щодо формування </w:t>
      </w:r>
      <w:r w:rsidR="00E566CF" w:rsidRPr="007916F0">
        <w:rPr>
          <w:sz w:val="28"/>
          <w:szCs w:val="28"/>
          <w:lang w:eastAsia="zh-CN"/>
        </w:rPr>
        <w:t>технічних резервів за видами страхування, іншими ніж страхування життя, та резервів із страхування життя</w:t>
      </w:r>
      <w:r w:rsidRPr="00AC18EF">
        <w:rPr>
          <w:sz w:val="28"/>
          <w:szCs w:val="28"/>
        </w:rPr>
        <w:t>;</w:t>
      </w:r>
    </w:p>
    <w:p w14:paraId="7173772B" w14:textId="77777777" w:rsidR="00AC18EF" w:rsidRPr="00AC18EF" w:rsidRDefault="00AC18EF" w:rsidP="00AC18E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8EF">
        <w:rPr>
          <w:sz w:val="28"/>
          <w:szCs w:val="28"/>
        </w:rPr>
        <w:t>запровадження єдиних сучасних актуарних методів розрахунку резервів.</w:t>
      </w:r>
    </w:p>
    <w:p w14:paraId="75AF8F06" w14:textId="172325A6" w:rsidR="00AC18EF" w:rsidRPr="00AC18EF" w:rsidRDefault="00AC18EF" w:rsidP="00AC18E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8EF">
        <w:rPr>
          <w:sz w:val="28"/>
          <w:szCs w:val="28"/>
        </w:rPr>
        <w:t xml:space="preserve">Єдині підходи формування страхових резервів у </w:t>
      </w:r>
      <w:r w:rsidR="00DF0A6E">
        <w:rPr>
          <w:sz w:val="28"/>
          <w:szCs w:val="28"/>
        </w:rPr>
        <w:t>потрібному</w:t>
      </w:r>
      <w:r w:rsidR="00DF0A6E" w:rsidRPr="00AC18EF">
        <w:rPr>
          <w:sz w:val="28"/>
          <w:szCs w:val="28"/>
        </w:rPr>
        <w:t xml:space="preserve"> </w:t>
      </w:r>
      <w:r w:rsidRPr="00AC18EF">
        <w:rPr>
          <w:sz w:val="28"/>
          <w:szCs w:val="28"/>
        </w:rPr>
        <w:t>розмірі забезпечать адекватну оцінку страхових зобов’язань для здійснення майбутніх страхових виплат.</w:t>
      </w:r>
    </w:p>
    <w:p w14:paraId="6B0EDCD4" w14:textId="4A36D57C" w:rsidR="00AC18EF" w:rsidRPr="00AC18EF" w:rsidRDefault="00AC18EF" w:rsidP="00AC18EF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18EF">
        <w:rPr>
          <w:sz w:val="28"/>
          <w:szCs w:val="28"/>
        </w:rPr>
        <w:t xml:space="preserve">Прийняття </w:t>
      </w:r>
      <w:r w:rsidR="00512120">
        <w:rPr>
          <w:sz w:val="28"/>
          <w:szCs w:val="28"/>
        </w:rPr>
        <w:t>П</w:t>
      </w:r>
      <w:r w:rsidRPr="00AC18EF">
        <w:rPr>
          <w:sz w:val="28"/>
          <w:szCs w:val="28"/>
        </w:rPr>
        <w:t xml:space="preserve">роєкту </w:t>
      </w:r>
      <w:r w:rsidR="00512120">
        <w:rPr>
          <w:sz w:val="28"/>
          <w:szCs w:val="28"/>
        </w:rPr>
        <w:t>п</w:t>
      </w:r>
      <w:r w:rsidRPr="00AC18EF">
        <w:rPr>
          <w:sz w:val="28"/>
          <w:szCs w:val="28"/>
        </w:rPr>
        <w:t>останови сприятиме ефективному виконанню страховиками своїх зобов</w:t>
      </w:r>
      <w:r w:rsidR="00D60F75">
        <w:rPr>
          <w:sz w:val="28"/>
          <w:szCs w:val="28"/>
        </w:rPr>
        <w:t>’</w:t>
      </w:r>
      <w:r w:rsidRPr="00AC18EF">
        <w:rPr>
          <w:sz w:val="28"/>
          <w:szCs w:val="28"/>
        </w:rPr>
        <w:t>язань.</w:t>
      </w:r>
    </w:p>
    <w:p w14:paraId="0F1D4FD1" w14:textId="02D66714" w:rsidR="00404B00" w:rsidRPr="00AC18EF" w:rsidRDefault="00404B00" w:rsidP="00AA1865">
      <w:pPr>
        <w:pStyle w:val="a7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C18EF">
        <w:rPr>
          <w:rFonts w:eastAsia="Times New Roman"/>
          <w:sz w:val="28"/>
          <w:szCs w:val="28"/>
          <w:lang w:eastAsia="ru-RU"/>
        </w:rPr>
        <w:t xml:space="preserve">Прийняття регуляторного акта </w:t>
      </w:r>
      <w:r w:rsidR="00936CF6" w:rsidRPr="00AC18EF">
        <w:rPr>
          <w:rFonts w:eastAsia="Times New Roman"/>
          <w:sz w:val="28"/>
          <w:szCs w:val="28"/>
          <w:lang w:eastAsia="ru-RU"/>
        </w:rPr>
        <w:t>дасть змогу</w:t>
      </w:r>
      <w:r w:rsidRPr="00AC18EF">
        <w:rPr>
          <w:rFonts w:eastAsia="Times New Roman"/>
          <w:sz w:val="28"/>
          <w:szCs w:val="28"/>
          <w:lang w:eastAsia="ru-RU"/>
        </w:rPr>
        <w:t xml:space="preserve"> запобігти порушенню прав </w:t>
      </w:r>
      <w:r w:rsidR="003F657A">
        <w:rPr>
          <w:rFonts w:eastAsia="Times New Roman"/>
          <w:sz w:val="28"/>
          <w:szCs w:val="28"/>
          <w:lang w:eastAsia="ru-RU"/>
        </w:rPr>
        <w:t>клієнтів</w:t>
      </w:r>
      <w:r w:rsidR="003F657A" w:rsidRPr="00AC18EF">
        <w:rPr>
          <w:rFonts w:eastAsia="Times New Roman"/>
          <w:sz w:val="28"/>
          <w:szCs w:val="28"/>
          <w:lang w:eastAsia="ru-RU"/>
        </w:rPr>
        <w:t xml:space="preserve"> </w:t>
      </w:r>
      <w:r w:rsidRPr="00AC18EF">
        <w:rPr>
          <w:rFonts w:eastAsia="Times New Roman"/>
          <w:sz w:val="28"/>
          <w:szCs w:val="28"/>
          <w:lang w:eastAsia="ru-RU"/>
        </w:rPr>
        <w:t xml:space="preserve">фінансових послуг за договорами страхування </w:t>
      </w:r>
      <w:r w:rsidR="003F657A">
        <w:rPr>
          <w:rFonts w:eastAsia="Times New Roman"/>
          <w:sz w:val="28"/>
          <w:szCs w:val="28"/>
          <w:lang w:eastAsia="ru-RU"/>
        </w:rPr>
        <w:t xml:space="preserve">та перестрахування </w:t>
      </w:r>
      <w:r w:rsidRPr="00AC18EF">
        <w:rPr>
          <w:rFonts w:eastAsia="Times New Roman"/>
          <w:sz w:val="28"/>
          <w:szCs w:val="28"/>
          <w:lang w:eastAsia="ru-RU"/>
        </w:rPr>
        <w:t>і позитивними результатами прийняття акта буд</w:t>
      </w:r>
      <w:r w:rsidR="00DB0B0A" w:rsidRPr="00AC18EF">
        <w:rPr>
          <w:rFonts w:eastAsia="Times New Roman"/>
          <w:sz w:val="28"/>
          <w:szCs w:val="28"/>
          <w:lang w:eastAsia="ru-RU"/>
        </w:rPr>
        <w:t>е</w:t>
      </w:r>
      <w:r w:rsidR="00BD5E4D" w:rsidRPr="00AC18EF">
        <w:rPr>
          <w:rFonts w:eastAsia="Times New Roman"/>
          <w:sz w:val="28"/>
          <w:szCs w:val="28"/>
          <w:lang w:eastAsia="ru-RU"/>
        </w:rPr>
        <w:t xml:space="preserve"> </w:t>
      </w:r>
      <w:r w:rsidRPr="00AC18EF">
        <w:rPr>
          <w:rFonts w:eastAsia="Times New Roman"/>
          <w:sz w:val="28"/>
          <w:szCs w:val="28"/>
          <w:lang w:eastAsia="ru-RU"/>
        </w:rPr>
        <w:t>зменшення кількості порушень прав споживачів</w:t>
      </w:r>
      <w:r w:rsidR="0094580F" w:rsidRPr="00AC18EF">
        <w:rPr>
          <w:rFonts w:eastAsia="Times New Roman"/>
          <w:sz w:val="28"/>
          <w:szCs w:val="28"/>
          <w:lang w:eastAsia="ru-RU"/>
        </w:rPr>
        <w:t xml:space="preserve"> та </w:t>
      </w:r>
      <w:r w:rsidRPr="00AC18EF">
        <w:rPr>
          <w:rFonts w:eastAsia="Times New Roman"/>
          <w:sz w:val="28"/>
          <w:szCs w:val="28"/>
          <w:lang w:eastAsia="ru-RU"/>
        </w:rPr>
        <w:t>додатковий захист прав споживачів щодо виконання зобов’язань страховиками</w:t>
      </w:r>
      <w:r w:rsidR="00F26666" w:rsidRPr="00AC18EF">
        <w:rPr>
          <w:rFonts w:eastAsia="Times New Roman"/>
          <w:sz w:val="28"/>
          <w:szCs w:val="28"/>
          <w:lang w:eastAsia="ru-RU"/>
        </w:rPr>
        <w:t>.</w:t>
      </w:r>
    </w:p>
    <w:p w14:paraId="30E67A59" w14:textId="77777777" w:rsidR="00AF33A5" w:rsidRPr="00AC18EF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FEC8BEE" w14:textId="32649D20" w:rsidR="005E4C59" w:rsidRPr="00167CC0" w:rsidRDefault="00B72271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V</w:t>
      </w:r>
      <w:r w:rsidR="00AF33A5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І</w:t>
      </w:r>
      <w:r w:rsidR="005E4C59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I. Визначе</w:t>
      </w:r>
      <w:r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ння показників результативності</w:t>
      </w:r>
      <w:r w:rsidR="005E4C59" w:rsidRPr="00167C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акта</w:t>
      </w:r>
    </w:p>
    <w:p w14:paraId="30C12BC3" w14:textId="701933A7" w:rsidR="00802BDE" w:rsidRPr="00AC18EF" w:rsidRDefault="00802BDE" w:rsidP="00802B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Показники результативності регуляторного акта </w:t>
      </w:r>
      <w:r w:rsidR="007B25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такі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7DB8ACE1" w14:textId="76EB5132" w:rsidR="006E7C2A" w:rsidRPr="00AC18EF" w:rsidRDefault="00F03849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</w:t>
      </w:r>
      <w:r w:rsidR="006E7C2A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кількість </w:t>
      </w:r>
      <w:r w:rsidR="00D60EC4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суб’єктів </w:t>
      </w:r>
      <w:r w:rsidR="006E7C2A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господарювання та/або фізичних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7C2A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осіб,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7C2A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яких поширювати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меться дія акта.</w:t>
      </w:r>
    </w:p>
    <w:p w14:paraId="30CD3A29" w14:textId="4F84FE5F" w:rsidR="003A4CF6" w:rsidRPr="00AC18EF" w:rsidRDefault="00DE2CC9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Регуляторний а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кт поширюватиметься на страховиків, загальна кількість яких станом на </w:t>
      </w:r>
      <w:r w:rsidR="004E6F9F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E6F9F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становила </w:t>
      </w:r>
      <w:r w:rsidR="004E6F9F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142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C3D0BA3" w14:textId="720884D0" w:rsidR="006E7C2A" w:rsidRPr="00AC18EF" w:rsidRDefault="006E7C2A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o36"/>
      <w:bookmarkEnd w:id="1"/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 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</w:t>
      </w:r>
      <w:r w:rsidR="00165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час,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витрачатимуть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0EC4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суб’єкти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господарювання та/або </w:t>
      </w:r>
      <w:r w:rsidR="001659E9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</w:t>
      </w:r>
      <w:r w:rsidR="001659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659E9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особи</w:t>
      </w:r>
      <w:r w:rsidR="000A59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виконанням вимог акта.</w:t>
      </w:r>
    </w:p>
    <w:p w14:paraId="24B15BEC" w14:textId="16FEA195" w:rsidR="003A4CF6" w:rsidRPr="00AC18EF" w:rsidRDefault="00754C44" w:rsidP="006E7C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итрати коштів та часу фізичних осіб</w:t>
      </w:r>
      <w:r w:rsidR="00D855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60EC4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пов’язані з виконанням вимог акта</w:t>
      </w:r>
      <w:r w:rsidR="00D47A40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60EC4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передбача</w:t>
      </w:r>
      <w:r w:rsidR="00C34DB7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="003A4CF6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ться</w:t>
      </w:r>
      <w:r w:rsidR="009143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271E1C6" w14:textId="0575CEDF" w:rsidR="003F657A" w:rsidRPr="008E4224" w:rsidRDefault="003F657A" w:rsidP="008E4224">
      <w:pPr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42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Часові витрати страховиків, пов’язані з приведенням </w:t>
      </w:r>
      <w:r w:rsidR="00D855FF" w:rsidRPr="008E4224">
        <w:rPr>
          <w:rFonts w:ascii="Times New Roman" w:hAnsi="Times New Roman" w:cs="Times New Roman"/>
          <w:sz w:val="28"/>
          <w:szCs w:val="28"/>
          <w:lang w:val="uk-UA" w:eastAsia="ru-RU"/>
        </w:rPr>
        <w:t>відповідн</w:t>
      </w:r>
      <w:r w:rsidR="00D855FF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="00D855FF" w:rsidRPr="008E42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E4224">
        <w:rPr>
          <w:rFonts w:ascii="Times New Roman" w:hAnsi="Times New Roman" w:cs="Times New Roman"/>
          <w:sz w:val="28"/>
          <w:szCs w:val="28"/>
          <w:lang w:val="uk-UA" w:eastAsia="ru-RU"/>
        </w:rPr>
        <w:t>до вимог цього регуляторного акта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своєї діяльності </w:t>
      </w:r>
      <w:r w:rsidR="00D855FF">
        <w:rPr>
          <w:rFonts w:ascii="Times New Roman" w:hAnsi="Times New Roman" w:cs="Times New Roman"/>
          <w:sz w:val="28"/>
          <w:szCs w:val="28"/>
          <w:lang w:val="uk-UA" w:eastAsia="ru-RU"/>
        </w:rPr>
        <w:t>щодо</w:t>
      </w:r>
      <w:r w:rsidR="008E422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приведення </w:t>
      </w:r>
      <w:r w:rsidR="000F0A6F" w:rsidRPr="003F657A">
        <w:rPr>
          <w:rFonts w:ascii="Times New Roman" w:hAnsi="Times New Roman" w:cs="Times New Roman"/>
          <w:sz w:val="28"/>
          <w:szCs w:val="28"/>
          <w:lang w:val="uk-UA" w:eastAsia="ru-RU"/>
        </w:rPr>
        <w:t>відповідн</w:t>
      </w:r>
      <w:r w:rsidR="000F0A6F">
        <w:rPr>
          <w:rFonts w:ascii="Times New Roman" w:hAnsi="Times New Roman" w:cs="Times New Roman"/>
          <w:sz w:val="28"/>
          <w:szCs w:val="28"/>
          <w:lang w:val="uk-UA" w:eastAsia="ru-RU"/>
        </w:rPr>
        <w:t>о до</w:t>
      </w:r>
      <w:r w:rsidR="000F0A6F" w:rsidRPr="003F65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F65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порядку </w:t>
      </w:r>
      <w:r w:rsidRPr="008E422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формування технічних резервів за видами страхування, іншими ніж страхування життя, та </w:t>
      </w:r>
      <w:r w:rsidR="009143C9">
        <w:rPr>
          <w:rFonts w:ascii="Times New Roman" w:hAnsi="Times New Roman" w:cs="Times New Roman"/>
          <w:sz w:val="28"/>
          <w:szCs w:val="28"/>
          <w:lang w:val="uk-UA" w:eastAsia="zh-CN"/>
        </w:rPr>
        <w:t>резервів із страхування життя;</w:t>
      </w:r>
    </w:p>
    <w:p w14:paraId="7CEE96E2" w14:textId="59CD7A07" w:rsidR="001B5F7C" w:rsidRPr="00AC18EF" w:rsidRDefault="000322E4" w:rsidP="00F03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B5F7C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сформовані страхові резерви.</w:t>
      </w:r>
    </w:p>
    <w:p w14:paraId="681F5104" w14:textId="08F7F76D" w:rsidR="001B5F7C" w:rsidRPr="00AC18EF" w:rsidRDefault="001B5F7C" w:rsidP="001B5F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даними звітності страховиків станом на 3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4E6F9F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="004E6F9F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423B9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82B47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страхові резерви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склали </w:t>
      </w:r>
      <w:r w:rsidR="00690239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0322E4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360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473,0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млн</w:t>
      </w:r>
      <w:r w:rsidR="00374725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="004E6F9F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138C407" w14:textId="7DAEC570" w:rsidR="004E6F9F" w:rsidRPr="00AC18EF" w:rsidRDefault="004E6F9F" w:rsidP="001B5F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</w:t>
      </w:r>
      <w:r w:rsidR="00157E44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сформовані </w:t>
      </w:r>
      <w:r w:rsidR="00157E44" w:rsidRPr="00157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</w:t>
      </w:r>
      <w:r w:rsidR="00157E44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резерви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7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видів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страхування інш</w:t>
      </w:r>
      <w:r w:rsidR="00157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ніж страхування життя.</w:t>
      </w:r>
    </w:p>
    <w:p w14:paraId="72F41FF7" w14:textId="72EB1731" w:rsidR="004E6F9F" w:rsidRPr="00AC18EF" w:rsidRDefault="004E6F9F" w:rsidP="001B5F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Такий показник станом на 3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склав </w:t>
      </w:r>
      <w:r w:rsidR="00157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21 359,4</w:t>
      </w:r>
      <w:r w:rsidR="00AC18EF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млн грн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7BDA589" w14:textId="3A541944" w:rsidR="004E6F9F" w:rsidRPr="00AC18EF" w:rsidRDefault="004E6F9F" w:rsidP="004E6F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5) </w:t>
      </w:r>
      <w:r w:rsidR="00157E44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сформовані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резерв</w:t>
      </w:r>
      <w:r w:rsidR="00157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7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страхування життя.</w:t>
      </w:r>
    </w:p>
    <w:p w14:paraId="7184638A" w14:textId="2D58F735" w:rsidR="004E6F9F" w:rsidRPr="00AC18EF" w:rsidRDefault="004E6F9F" w:rsidP="004E6F9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Такий показник станом на 3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725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C18EF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склав </w:t>
      </w:r>
      <w:r w:rsidR="00157E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15 113,6</w:t>
      </w:r>
      <w:r w:rsidR="00AC18EF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млн грн.</w:t>
      </w:r>
    </w:p>
    <w:p w14:paraId="003D14B4" w14:textId="77777777" w:rsidR="00805DD8" w:rsidRPr="003F657A" w:rsidRDefault="00805DD8" w:rsidP="00510963">
      <w:pPr>
        <w:suppressAutoHyphens/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14:paraId="424FE733" w14:textId="103018E0" w:rsidR="005E4C59" w:rsidRPr="008F12AC" w:rsidRDefault="00B72271" w:rsidP="00AD0EAF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</w:pPr>
      <w:r w:rsidRPr="008F12A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VІIІ</w:t>
      </w:r>
      <w:r w:rsidR="005E4C59" w:rsidRPr="008F12A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. Визначення заходів, з</w:t>
      </w:r>
      <w:r w:rsidR="0066597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а</w:t>
      </w:r>
      <w:r w:rsidR="005E4C59" w:rsidRPr="008F12A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допомогою яких</w:t>
      </w:r>
      <w:r w:rsidR="00455389" w:rsidRPr="008F12A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здійснювати</w:t>
      </w:r>
      <w:r w:rsidR="003423B9" w:rsidRPr="008F12A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меться </w:t>
      </w:r>
      <w:r w:rsidR="005E4C59" w:rsidRPr="008F12A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відстеж</w:t>
      </w:r>
      <w:r w:rsidR="00455389" w:rsidRPr="008F12A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ення</w:t>
      </w:r>
      <w:r w:rsidR="003423B9" w:rsidRPr="008F12A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 </w:t>
      </w:r>
      <w:r w:rsidR="005E4C59" w:rsidRPr="008F12A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>результативн</w:t>
      </w:r>
      <w:r w:rsidR="001C3A28" w:rsidRPr="008F12A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ості </w:t>
      </w:r>
      <w:r w:rsidR="005E4C59" w:rsidRPr="008F12A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 w:eastAsia="zh-CN"/>
        </w:rPr>
        <w:t xml:space="preserve">акта </w:t>
      </w:r>
    </w:p>
    <w:p w14:paraId="044BA24C" w14:textId="02643C41" w:rsidR="00AF33A5" w:rsidRPr="00AC18EF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Відповідно до статей 3 та 10 Закону України “Про засади державної регуляторної політики у сфері господарської діяльності” Національний банк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банку, затвердженої постановою Кабінету Міністрів України і Національного банку України від 14</w:t>
      </w:r>
      <w:r w:rsidR="00DD40D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.04.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2004 №</w:t>
      </w:r>
      <w:r w:rsidR="008D61DE" w:rsidRPr="00AC18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471.</w:t>
      </w:r>
    </w:p>
    <w:p w14:paraId="649DEE50" w14:textId="06A3E683" w:rsidR="00AF33A5" w:rsidRPr="00AC18EF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bookmarkStart w:id="2" w:name="_Hlk528784927"/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Відстеження результативності регуляторного акта проводитиметься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регуляторного акта.</w:t>
      </w:r>
    </w:p>
    <w:bookmarkEnd w:id="2"/>
    <w:p w14:paraId="19CC4F74" w14:textId="122B3329" w:rsidR="00AF33A5" w:rsidRPr="00AC18EF" w:rsidRDefault="00AF33A5" w:rsidP="000322E4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Базове відстеження результативності регуляторного акта здійснюватиметься протягом року з дня набранн</w:t>
      </w:r>
      <w:r w:rsidR="00BB6BC0"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 чинності цим актом відповідно </w:t>
      </w: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частини п’ятої статті 10 Закону України “Про засади державної регуляторної політики у сфері господарської діяльності”, оскільки для відстеження результативності використовуватимуться статистичні дані, але не пізніше дня, з якого починається проведення повторного відстеження результативності цього акта.</w:t>
      </w:r>
    </w:p>
    <w:p w14:paraId="4E10C731" w14:textId="77777777" w:rsidR="00AF33A5" w:rsidRPr="00AC18EF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Повторне відстеження проводитиметься не пізніше двох років із дня набрання чинності регуляторним актом.</w:t>
      </w:r>
    </w:p>
    <w:p w14:paraId="74B68986" w14:textId="7FAA13DE" w:rsidR="00AF33A5" w:rsidRPr="00AC18EF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Періодичне відстеження результативності – один раз на кожні три роки </w:t>
      </w:r>
      <w:r w:rsidRPr="00AC18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 дня закінчення заходів із повторного відстеження результативності регуляторного акта.</w:t>
      </w:r>
    </w:p>
    <w:p w14:paraId="19C6DB02" w14:textId="57335D70" w:rsidR="00AF33A5" w:rsidRPr="00AC18EF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відстеження результативності акта Національний банк використовуватиме дані, отримані за результатами діяльності страховиків.</w:t>
      </w:r>
    </w:p>
    <w:p w14:paraId="7CCCA2FB" w14:textId="77777777" w:rsidR="00AF33A5" w:rsidRPr="00AC18EF" w:rsidRDefault="00AF33A5" w:rsidP="00AF33A5">
      <w:pPr>
        <w:spacing w:after="0" w:line="240" w:lineRule="auto"/>
        <w:ind w:firstLine="68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C18E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Інформування суб’єктів господарювання щодо основних положень регуляторного акта здійснюватиметься шляхом його оприлюднення на сторінці офіційного Інтернет-представництва Національного банку.</w:t>
      </w:r>
    </w:p>
    <w:p w14:paraId="18EE176E" w14:textId="7C8BE579" w:rsidR="00FB3297" w:rsidRPr="00AC18EF" w:rsidRDefault="00FB3297" w:rsidP="00FB3297">
      <w:pPr>
        <w:pStyle w:val="rvps2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</w:p>
    <w:p w14:paraId="1DEF5BA1" w14:textId="77777777" w:rsidR="00C10E36" w:rsidRPr="00AC18EF" w:rsidRDefault="00C10E36" w:rsidP="00FB3297">
      <w:pPr>
        <w:pStyle w:val="rvps2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zh-CN"/>
        </w:rPr>
      </w:pPr>
    </w:p>
    <w:p w14:paraId="230E0A09" w14:textId="77777777" w:rsidR="00FB3297" w:rsidRPr="00AC18EF" w:rsidRDefault="00FB3297" w:rsidP="00FB3297">
      <w:pPr>
        <w:pStyle w:val="rvps2"/>
        <w:spacing w:before="0" w:beforeAutospacing="0" w:after="0" w:afterAutospacing="0"/>
        <w:ind w:firstLine="686"/>
        <w:jc w:val="both"/>
        <w:rPr>
          <w:sz w:val="28"/>
          <w:szCs w:val="28"/>
          <w:lang w:val="uk-UA" w:eastAsia="uk-UA"/>
        </w:rPr>
      </w:pPr>
    </w:p>
    <w:tbl>
      <w:tblPr>
        <w:tblStyle w:val="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003"/>
      </w:tblGrid>
      <w:tr w:rsidR="005E4C59" w:rsidRPr="00871735" w14:paraId="2BB20F06" w14:textId="77777777" w:rsidTr="00E07B20">
        <w:tc>
          <w:tcPr>
            <w:tcW w:w="5495" w:type="dxa"/>
            <w:vAlign w:val="bottom"/>
          </w:tcPr>
          <w:p w14:paraId="3D7AE1C7" w14:textId="6884D284" w:rsidR="005E4C59" w:rsidRPr="00AC18EF" w:rsidRDefault="00871735" w:rsidP="00AC58A1">
            <w:pPr>
              <w:tabs>
                <w:tab w:val="left" w:pos="7020"/>
                <w:tab w:val="left" w:pos="7200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bookmarkStart w:id="3" w:name="o35"/>
            <w:bookmarkStart w:id="4" w:name="o37"/>
            <w:bookmarkStart w:id="5" w:name="o38"/>
            <w:bookmarkEnd w:id="3"/>
            <w:bookmarkEnd w:id="4"/>
            <w:bookmarkEnd w:id="5"/>
            <w:r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В.</w:t>
            </w:r>
            <w:r w:rsidR="00AC58A1"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 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о. Голови</w:t>
            </w:r>
            <w:r w:rsidR="003423B9" w:rsidRPr="00AC18EF"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 xml:space="preserve"> Національного банку України</w:t>
            </w:r>
          </w:p>
        </w:tc>
        <w:tc>
          <w:tcPr>
            <w:tcW w:w="4003" w:type="dxa"/>
            <w:vAlign w:val="bottom"/>
          </w:tcPr>
          <w:p w14:paraId="2E346922" w14:textId="6034F215" w:rsidR="005E4C59" w:rsidRPr="00AC18EF" w:rsidRDefault="00871735" w:rsidP="00871735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Юрій</w:t>
            </w:r>
            <w:r w:rsidR="005E4C59" w:rsidRPr="00AC18EF"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uk-UA"/>
              </w:rPr>
              <w:t>ГЕЛЕТІЙ</w:t>
            </w:r>
          </w:p>
        </w:tc>
      </w:tr>
    </w:tbl>
    <w:p w14:paraId="68F73291" w14:textId="77777777" w:rsidR="005E4C59" w:rsidRPr="00AC18EF" w:rsidRDefault="005E4C59" w:rsidP="005109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sectPr w:rsidR="005E4C59" w:rsidRPr="00AC18EF" w:rsidSect="00167CC0">
      <w:headerReference w:type="default" r:id="rId8"/>
      <w:pgSz w:w="11906" w:h="16838" w:code="9"/>
      <w:pgMar w:top="1134" w:right="567" w:bottom="1701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9F16F" w14:textId="77777777" w:rsidR="00350204" w:rsidRDefault="00350204">
      <w:pPr>
        <w:spacing w:after="0" w:line="240" w:lineRule="auto"/>
      </w:pPr>
      <w:r>
        <w:separator/>
      </w:r>
    </w:p>
  </w:endnote>
  <w:endnote w:type="continuationSeparator" w:id="0">
    <w:p w14:paraId="5E2227D2" w14:textId="77777777" w:rsidR="00350204" w:rsidRDefault="0035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90F55" w14:textId="77777777" w:rsidR="00350204" w:rsidRDefault="00350204">
      <w:pPr>
        <w:spacing w:after="0" w:line="240" w:lineRule="auto"/>
      </w:pPr>
      <w:r>
        <w:separator/>
      </w:r>
    </w:p>
  </w:footnote>
  <w:footnote w:type="continuationSeparator" w:id="0">
    <w:p w14:paraId="7C4C19D9" w14:textId="77777777" w:rsidR="00350204" w:rsidRDefault="0035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E7B9F" w14:textId="77777777" w:rsidR="00C14F98" w:rsidRPr="00C024C0" w:rsidRDefault="00C14F98">
    <w:pPr>
      <w:pStyle w:val="a3"/>
      <w:rPr>
        <w:rFonts w:ascii="Times New Roman" w:hAnsi="Times New Roman" w:cs="Times New Roman"/>
        <w:sz w:val="24"/>
        <w:szCs w:val="24"/>
      </w:rPr>
    </w:pPr>
    <w:r w:rsidRPr="00C024C0">
      <w:rPr>
        <w:rFonts w:ascii="Times New Roman" w:hAnsi="Times New Roman" w:cs="Times New Roman"/>
        <w:noProof/>
        <w:sz w:val="24"/>
        <w:szCs w:val="24"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6AA747" wp14:editId="11A02EC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8890" t="635" r="3175" b="825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F55EB" w14:textId="3F7C98ED" w:rsidR="00C14F98" w:rsidRPr="009110F2" w:rsidRDefault="00C14F98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 w:rsidRPr="009110F2">
                            <w:rPr>
                              <w:rStyle w:val="a5"/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9110F2">
                            <w:rPr>
                              <w:rStyle w:val="a5"/>
                              <w:rFonts w:ascii="Times New Roman" w:hAnsi="Times New Roman" w:cs="Times New Roman"/>
                            </w:rPr>
                            <w:instrText xml:space="preserve"> PAGE </w:instrText>
                          </w:r>
                          <w:r w:rsidRPr="009110F2">
                            <w:rPr>
                              <w:rStyle w:val="a5"/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221B25">
                            <w:rPr>
                              <w:rStyle w:val="a5"/>
                              <w:rFonts w:ascii="Times New Roman" w:hAnsi="Times New Roman" w:cs="Times New Roman"/>
                              <w:noProof/>
                            </w:rPr>
                            <w:t>4</w:t>
                          </w:r>
                          <w:r w:rsidRPr="009110F2">
                            <w:rPr>
                              <w:rStyle w:val="a5"/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2540" tIns="2540" rIns="2540" bIns="25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AA74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5.8pt;height:13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" stroked="f">
              <v:fill opacity="0"/>
              <v:textbox inset=".2pt,.2pt,.2pt,.2pt">
                <w:txbxContent>
                  <w:p w14:paraId="492F55EB" w14:textId="3F7C98ED" w:rsidR="00C14F98" w:rsidRPr="009110F2" w:rsidRDefault="00C14F98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 w:rsidRPr="009110F2">
                      <w:rPr>
                        <w:rStyle w:val="a5"/>
                        <w:rFonts w:ascii="Times New Roman" w:hAnsi="Times New Roman" w:cs="Times New Roman"/>
                      </w:rPr>
                      <w:fldChar w:fldCharType="begin"/>
                    </w:r>
                    <w:r w:rsidRPr="009110F2">
                      <w:rPr>
                        <w:rStyle w:val="a5"/>
                        <w:rFonts w:ascii="Times New Roman" w:hAnsi="Times New Roman" w:cs="Times New Roman"/>
                      </w:rPr>
                      <w:instrText xml:space="preserve"> PAGE </w:instrText>
                    </w:r>
                    <w:r w:rsidRPr="009110F2">
                      <w:rPr>
                        <w:rStyle w:val="a5"/>
                        <w:rFonts w:ascii="Times New Roman" w:hAnsi="Times New Roman" w:cs="Times New Roman"/>
                      </w:rPr>
                      <w:fldChar w:fldCharType="separate"/>
                    </w:r>
                    <w:r w:rsidR="00221B25">
                      <w:rPr>
                        <w:rStyle w:val="a5"/>
                        <w:rFonts w:ascii="Times New Roman" w:hAnsi="Times New Roman" w:cs="Times New Roman"/>
                        <w:noProof/>
                      </w:rPr>
                      <w:t>4</w:t>
                    </w:r>
                    <w:r w:rsidRPr="009110F2">
                      <w:rPr>
                        <w:rStyle w:val="a5"/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67437"/>
    <w:multiLevelType w:val="hybridMultilevel"/>
    <w:tmpl w:val="121404A4"/>
    <w:lvl w:ilvl="0" w:tplc="AD5AEF1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98C62E8">
      <w:start w:val="1"/>
      <w:numFmt w:val="decimal"/>
      <w:lvlText w:val="%2)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1F22427"/>
    <w:multiLevelType w:val="hybridMultilevel"/>
    <w:tmpl w:val="4D541AEC"/>
    <w:lvl w:ilvl="0" w:tplc="634854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AE7370"/>
    <w:multiLevelType w:val="hybridMultilevel"/>
    <w:tmpl w:val="C0D05C98"/>
    <w:lvl w:ilvl="0" w:tplc="198C62E8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0C08"/>
    <w:multiLevelType w:val="hybridMultilevel"/>
    <w:tmpl w:val="7312E6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64D76"/>
    <w:multiLevelType w:val="hybridMultilevel"/>
    <w:tmpl w:val="35ECF526"/>
    <w:lvl w:ilvl="0" w:tplc="DD56D6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458B8"/>
    <w:multiLevelType w:val="hybridMultilevel"/>
    <w:tmpl w:val="BAD4F176"/>
    <w:lvl w:ilvl="0" w:tplc="198C62E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5CC06CE"/>
    <w:multiLevelType w:val="hybridMultilevel"/>
    <w:tmpl w:val="838E676C"/>
    <w:lvl w:ilvl="0" w:tplc="7786BD02">
      <w:start w:val="1"/>
      <w:numFmt w:val="decimal"/>
      <w:lvlText w:val="%1)"/>
      <w:lvlJc w:val="left"/>
      <w:pPr>
        <w:ind w:left="1117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DB21CD"/>
    <w:multiLevelType w:val="hybridMultilevel"/>
    <w:tmpl w:val="B7B4E2FA"/>
    <w:lvl w:ilvl="0" w:tplc="198C62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31A5321"/>
    <w:multiLevelType w:val="hybridMultilevel"/>
    <w:tmpl w:val="063A3696"/>
    <w:lvl w:ilvl="0" w:tplc="B3044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C2A24"/>
    <w:multiLevelType w:val="hybridMultilevel"/>
    <w:tmpl w:val="04D0E8EA"/>
    <w:lvl w:ilvl="0" w:tplc="9F4EFA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B7FA1"/>
    <w:multiLevelType w:val="hybridMultilevel"/>
    <w:tmpl w:val="4F98D0A6"/>
    <w:lvl w:ilvl="0" w:tplc="8DBAA1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E94D16"/>
    <w:multiLevelType w:val="hybridMultilevel"/>
    <w:tmpl w:val="E208D6B0"/>
    <w:lvl w:ilvl="0" w:tplc="2B165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41"/>
    <w:rsid w:val="00026EC7"/>
    <w:rsid w:val="000270C4"/>
    <w:rsid w:val="000278EE"/>
    <w:rsid w:val="000322E4"/>
    <w:rsid w:val="00046124"/>
    <w:rsid w:val="00052692"/>
    <w:rsid w:val="00056972"/>
    <w:rsid w:val="00060137"/>
    <w:rsid w:val="000A5923"/>
    <w:rsid w:val="000A5B85"/>
    <w:rsid w:val="000B2188"/>
    <w:rsid w:val="000B6A06"/>
    <w:rsid w:val="000C0E26"/>
    <w:rsid w:val="000C0EDF"/>
    <w:rsid w:val="000C73B7"/>
    <w:rsid w:val="000E01DD"/>
    <w:rsid w:val="000E1826"/>
    <w:rsid w:val="000F0A6F"/>
    <w:rsid w:val="000F4B71"/>
    <w:rsid w:val="000F5E3D"/>
    <w:rsid w:val="001006A2"/>
    <w:rsid w:val="00102CF2"/>
    <w:rsid w:val="001045C3"/>
    <w:rsid w:val="00110028"/>
    <w:rsid w:val="00113661"/>
    <w:rsid w:val="001303F9"/>
    <w:rsid w:val="0013686F"/>
    <w:rsid w:val="00154A90"/>
    <w:rsid w:val="00157E44"/>
    <w:rsid w:val="001659E9"/>
    <w:rsid w:val="00167CC0"/>
    <w:rsid w:val="001729E2"/>
    <w:rsid w:val="00185839"/>
    <w:rsid w:val="001A0A13"/>
    <w:rsid w:val="001B1E9F"/>
    <w:rsid w:val="001B5F7C"/>
    <w:rsid w:val="001C3A28"/>
    <w:rsid w:val="001D2DAD"/>
    <w:rsid w:val="001D432F"/>
    <w:rsid w:val="001E1521"/>
    <w:rsid w:val="00200852"/>
    <w:rsid w:val="00214288"/>
    <w:rsid w:val="00221B25"/>
    <w:rsid w:val="00224F3D"/>
    <w:rsid w:val="0023490C"/>
    <w:rsid w:val="00234BD2"/>
    <w:rsid w:val="00267D5D"/>
    <w:rsid w:val="002725B6"/>
    <w:rsid w:val="0027541F"/>
    <w:rsid w:val="00276EFF"/>
    <w:rsid w:val="00281145"/>
    <w:rsid w:val="00282EE1"/>
    <w:rsid w:val="002928A0"/>
    <w:rsid w:val="002936DF"/>
    <w:rsid w:val="002C4113"/>
    <w:rsid w:val="002D2337"/>
    <w:rsid w:val="002D2D1D"/>
    <w:rsid w:val="002F6197"/>
    <w:rsid w:val="00301AE2"/>
    <w:rsid w:val="00310142"/>
    <w:rsid w:val="00323685"/>
    <w:rsid w:val="003423B9"/>
    <w:rsid w:val="00344040"/>
    <w:rsid w:val="00347381"/>
    <w:rsid w:val="00350204"/>
    <w:rsid w:val="00374725"/>
    <w:rsid w:val="003900D5"/>
    <w:rsid w:val="0039220F"/>
    <w:rsid w:val="003A4CF6"/>
    <w:rsid w:val="003B729E"/>
    <w:rsid w:val="003C2318"/>
    <w:rsid w:val="003C61B7"/>
    <w:rsid w:val="003F04F1"/>
    <w:rsid w:val="003F657A"/>
    <w:rsid w:val="004018AC"/>
    <w:rsid w:val="004034D6"/>
    <w:rsid w:val="00404B00"/>
    <w:rsid w:val="004052BF"/>
    <w:rsid w:val="0042416C"/>
    <w:rsid w:val="00430BB1"/>
    <w:rsid w:val="004413B4"/>
    <w:rsid w:val="00455389"/>
    <w:rsid w:val="00457BB5"/>
    <w:rsid w:val="00464188"/>
    <w:rsid w:val="0048081B"/>
    <w:rsid w:val="00480F3B"/>
    <w:rsid w:val="004855D4"/>
    <w:rsid w:val="004B1DD6"/>
    <w:rsid w:val="004B202E"/>
    <w:rsid w:val="004B668F"/>
    <w:rsid w:val="004C405B"/>
    <w:rsid w:val="004D5C8D"/>
    <w:rsid w:val="004E6961"/>
    <w:rsid w:val="004E6F9F"/>
    <w:rsid w:val="004F7950"/>
    <w:rsid w:val="00502053"/>
    <w:rsid w:val="0050695D"/>
    <w:rsid w:val="00510963"/>
    <w:rsid w:val="00512120"/>
    <w:rsid w:val="005134A0"/>
    <w:rsid w:val="005323B3"/>
    <w:rsid w:val="0055081C"/>
    <w:rsid w:val="00555541"/>
    <w:rsid w:val="00582B47"/>
    <w:rsid w:val="00594901"/>
    <w:rsid w:val="005962E5"/>
    <w:rsid w:val="005E1D8F"/>
    <w:rsid w:val="005E3646"/>
    <w:rsid w:val="005E4C59"/>
    <w:rsid w:val="005E6253"/>
    <w:rsid w:val="005F3DC4"/>
    <w:rsid w:val="006029A6"/>
    <w:rsid w:val="00607621"/>
    <w:rsid w:val="00621BFE"/>
    <w:rsid w:val="00632B10"/>
    <w:rsid w:val="00637F48"/>
    <w:rsid w:val="00640932"/>
    <w:rsid w:val="00653B38"/>
    <w:rsid w:val="00665765"/>
    <w:rsid w:val="0066597D"/>
    <w:rsid w:val="00666592"/>
    <w:rsid w:val="00690239"/>
    <w:rsid w:val="006E1129"/>
    <w:rsid w:val="006E6BAB"/>
    <w:rsid w:val="006E7C2A"/>
    <w:rsid w:val="006F23EB"/>
    <w:rsid w:val="006F7D0F"/>
    <w:rsid w:val="00701F95"/>
    <w:rsid w:val="0070237D"/>
    <w:rsid w:val="00710A63"/>
    <w:rsid w:val="00720027"/>
    <w:rsid w:val="007227FE"/>
    <w:rsid w:val="0072794C"/>
    <w:rsid w:val="0073329E"/>
    <w:rsid w:val="00737B30"/>
    <w:rsid w:val="00754C44"/>
    <w:rsid w:val="00757BC0"/>
    <w:rsid w:val="007916F0"/>
    <w:rsid w:val="00792497"/>
    <w:rsid w:val="007A6067"/>
    <w:rsid w:val="007B020D"/>
    <w:rsid w:val="007B204E"/>
    <w:rsid w:val="007B2534"/>
    <w:rsid w:val="007D4C1D"/>
    <w:rsid w:val="007E42EB"/>
    <w:rsid w:val="007E5EA9"/>
    <w:rsid w:val="007F1D9B"/>
    <w:rsid w:val="00802BDE"/>
    <w:rsid w:val="008039F0"/>
    <w:rsid w:val="00805C67"/>
    <w:rsid w:val="00805DD8"/>
    <w:rsid w:val="008142B8"/>
    <w:rsid w:val="00826F24"/>
    <w:rsid w:val="00837C89"/>
    <w:rsid w:val="00855084"/>
    <w:rsid w:val="008561F8"/>
    <w:rsid w:val="00870647"/>
    <w:rsid w:val="00871735"/>
    <w:rsid w:val="00885843"/>
    <w:rsid w:val="00887007"/>
    <w:rsid w:val="008915B6"/>
    <w:rsid w:val="008C5EF3"/>
    <w:rsid w:val="008D2CAB"/>
    <w:rsid w:val="008D350C"/>
    <w:rsid w:val="008D61DE"/>
    <w:rsid w:val="008E4224"/>
    <w:rsid w:val="008F12AC"/>
    <w:rsid w:val="00905E49"/>
    <w:rsid w:val="009110F2"/>
    <w:rsid w:val="00913992"/>
    <w:rsid w:val="009143C9"/>
    <w:rsid w:val="00921758"/>
    <w:rsid w:val="00936CF6"/>
    <w:rsid w:val="00940DC4"/>
    <w:rsid w:val="0094580F"/>
    <w:rsid w:val="00950B75"/>
    <w:rsid w:val="00957598"/>
    <w:rsid w:val="00960699"/>
    <w:rsid w:val="0096699B"/>
    <w:rsid w:val="0098486B"/>
    <w:rsid w:val="00996A49"/>
    <w:rsid w:val="009B14CE"/>
    <w:rsid w:val="009B3294"/>
    <w:rsid w:val="009B3A13"/>
    <w:rsid w:val="009E45B8"/>
    <w:rsid w:val="009E516B"/>
    <w:rsid w:val="009F4E97"/>
    <w:rsid w:val="00A02518"/>
    <w:rsid w:val="00A04AB1"/>
    <w:rsid w:val="00A056A1"/>
    <w:rsid w:val="00A26D55"/>
    <w:rsid w:val="00A35049"/>
    <w:rsid w:val="00A353B2"/>
    <w:rsid w:val="00A60690"/>
    <w:rsid w:val="00A6279A"/>
    <w:rsid w:val="00A664DA"/>
    <w:rsid w:val="00A72D41"/>
    <w:rsid w:val="00A76799"/>
    <w:rsid w:val="00A80049"/>
    <w:rsid w:val="00A84831"/>
    <w:rsid w:val="00A858CF"/>
    <w:rsid w:val="00A867A3"/>
    <w:rsid w:val="00AA1865"/>
    <w:rsid w:val="00AA2897"/>
    <w:rsid w:val="00AB7F43"/>
    <w:rsid w:val="00AC18EF"/>
    <w:rsid w:val="00AC58A1"/>
    <w:rsid w:val="00AD0EAF"/>
    <w:rsid w:val="00AD41EF"/>
    <w:rsid w:val="00AF17B8"/>
    <w:rsid w:val="00AF33A5"/>
    <w:rsid w:val="00B071A4"/>
    <w:rsid w:val="00B2046B"/>
    <w:rsid w:val="00B22AD9"/>
    <w:rsid w:val="00B22DE2"/>
    <w:rsid w:val="00B65E48"/>
    <w:rsid w:val="00B72271"/>
    <w:rsid w:val="00B86D27"/>
    <w:rsid w:val="00B871BC"/>
    <w:rsid w:val="00B91D2A"/>
    <w:rsid w:val="00B92220"/>
    <w:rsid w:val="00BB6BC0"/>
    <w:rsid w:val="00BB6CBD"/>
    <w:rsid w:val="00BC729B"/>
    <w:rsid w:val="00BD01B6"/>
    <w:rsid w:val="00BD53C0"/>
    <w:rsid w:val="00BD5E4D"/>
    <w:rsid w:val="00BF62A1"/>
    <w:rsid w:val="00C024C0"/>
    <w:rsid w:val="00C10E36"/>
    <w:rsid w:val="00C14F98"/>
    <w:rsid w:val="00C31E3B"/>
    <w:rsid w:val="00C33ADC"/>
    <w:rsid w:val="00C34DB7"/>
    <w:rsid w:val="00C35724"/>
    <w:rsid w:val="00C36073"/>
    <w:rsid w:val="00C47381"/>
    <w:rsid w:val="00C53156"/>
    <w:rsid w:val="00C7093C"/>
    <w:rsid w:val="00C8447A"/>
    <w:rsid w:val="00C86B90"/>
    <w:rsid w:val="00C86CA3"/>
    <w:rsid w:val="00CB2769"/>
    <w:rsid w:val="00CE776B"/>
    <w:rsid w:val="00CF1C7B"/>
    <w:rsid w:val="00CF1D09"/>
    <w:rsid w:val="00CF43F7"/>
    <w:rsid w:val="00D01874"/>
    <w:rsid w:val="00D113BE"/>
    <w:rsid w:val="00D119FB"/>
    <w:rsid w:val="00D11D9B"/>
    <w:rsid w:val="00D12676"/>
    <w:rsid w:val="00D2003D"/>
    <w:rsid w:val="00D22519"/>
    <w:rsid w:val="00D3103D"/>
    <w:rsid w:val="00D41D92"/>
    <w:rsid w:val="00D47A40"/>
    <w:rsid w:val="00D56603"/>
    <w:rsid w:val="00D57CBF"/>
    <w:rsid w:val="00D60EC4"/>
    <w:rsid w:val="00D60F75"/>
    <w:rsid w:val="00D82FEC"/>
    <w:rsid w:val="00D855FF"/>
    <w:rsid w:val="00D860CC"/>
    <w:rsid w:val="00D87372"/>
    <w:rsid w:val="00D93638"/>
    <w:rsid w:val="00DB0B0A"/>
    <w:rsid w:val="00DD40DE"/>
    <w:rsid w:val="00DD6EDB"/>
    <w:rsid w:val="00DD7CAA"/>
    <w:rsid w:val="00DE2CC9"/>
    <w:rsid w:val="00DE3D31"/>
    <w:rsid w:val="00DF0A6E"/>
    <w:rsid w:val="00DF3B4A"/>
    <w:rsid w:val="00DF50F2"/>
    <w:rsid w:val="00E009AD"/>
    <w:rsid w:val="00E04C26"/>
    <w:rsid w:val="00E07B20"/>
    <w:rsid w:val="00E11D62"/>
    <w:rsid w:val="00E16FFF"/>
    <w:rsid w:val="00E25507"/>
    <w:rsid w:val="00E25F80"/>
    <w:rsid w:val="00E4195A"/>
    <w:rsid w:val="00E44369"/>
    <w:rsid w:val="00E50542"/>
    <w:rsid w:val="00E512E2"/>
    <w:rsid w:val="00E566CF"/>
    <w:rsid w:val="00E61A6E"/>
    <w:rsid w:val="00E62DA8"/>
    <w:rsid w:val="00E63C4A"/>
    <w:rsid w:val="00E657CF"/>
    <w:rsid w:val="00E65C03"/>
    <w:rsid w:val="00E74EFC"/>
    <w:rsid w:val="00E75A32"/>
    <w:rsid w:val="00E86501"/>
    <w:rsid w:val="00E92564"/>
    <w:rsid w:val="00EA16EE"/>
    <w:rsid w:val="00EA75EA"/>
    <w:rsid w:val="00EB751C"/>
    <w:rsid w:val="00EC7614"/>
    <w:rsid w:val="00ED701A"/>
    <w:rsid w:val="00F011E5"/>
    <w:rsid w:val="00F029CE"/>
    <w:rsid w:val="00F03849"/>
    <w:rsid w:val="00F06D02"/>
    <w:rsid w:val="00F2000D"/>
    <w:rsid w:val="00F20847"/>
    <w:rsid w:val="00F24052"/>
    <w:rsid w:val="00F26666"/>
    <w:rsid w:val="00F37A24"/>
    <w:rsid w:val="00F41A98"/>
    <w:rsid w:val="00F41C25"/>
    <w:rsid w:val="00F471C1"/>
    <w:rsid w:val="00F50889"/>
    <w:rsid w:val="00F51756"/>
    <w:rsid w:val="00F80907"/>
    <w:rsid w:val="00F813BF"/>
    <w:rsid w:val="00F852A4"/>
    <w:rsid w:val="00F866B5"/>
    <w:rsid w:val="00F9125C"/>
    <w:rsid w:val="00FA1172"/>
    <w:rsid w:val="00FA5B49"/>
    <w:rsid w:val="00FB07F2"/>
    <w:rsid w:val="00FB3297"/>
    <w:rsid w:val="00FB59E2"/>
    <w:rsid w:val="00FC25EA"/>
    <w:rsid w:val="00FC497C"/>
    <w:rsid w:val="00FD32FC"/>
    <w:rsid w:val="00FF2703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5F962"/>
  <w15:chartTrackingRefBased/>
  <w15:docId w15:val="{4879AEF0-2E90-4673-9C68-539A18A8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0E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F9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1F95"/>
  </w:style>
  <w:style w:type="character" w:styleId="a5">
    <w:name w:val="page number"/>
    <w:basedOn w:val="a0"/>
    <w:rsid w:val="00701F95"/>
  </w:style>
  <w:style w:type="table" w:customStyle="1" w:styleId="11">
    <w:name w:val="Сетка таблицы1"/>
    <w:basedOn w:val="a1"/>
    <w:next w:val="a6"/>
    <w:uiPriority w:val="99"/>
    <w:rsid w:val="00701F95"/>
    <w:pPr>
      <w:spacing w:after="0" w:line="240" w:lineRule="auto"/>
    </w:pPr>
    <w:rPr>
      <w:rFonts w:eastAsia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70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5E4C59"/>
    <w:pPr>
      <w:spacing w:after="0" w:line="240" w:lineRule="auto"/>
    </w:pPr>
    <w:rPr>
      <w:rFonts w:eastAsia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34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rsid w:val="0005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nhideWhenUsed/>
    <w:rsid w:val="006657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E86501"/>
  </w:style>
  <w:style w:type="paragraph" w:customStyle="1" w:styleId="12">
    <w:name w:val="1"/>
    <w:basedOn w:val="a"/>
    <w:rsid w:val="00510963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a8">
    <w:name w:val="Основний текст Знак"/>
    <w:link w:val="a9"/>
    <w:rsid w:val="001D432F"/>
    <w:rPr>
      <w:sz w:val="24"/>
      <w:szCs w:val="24"/>
    </w:rPr>
  </w:style>
  <w:style w:type="character" w:styleId="aa">
    <w:name w:val="Strong"/>
    <w:basedOn w:val="a0"/>
    <w:uiPriority w:val="22"/>
    <w:qFormat/>
    <w:rsid w:val="001D432F"/>
    <w:rPr>
      <w:b/>
      <w:bCs/>
    </w:rPr>
  </w:style>
  <w:style w:type="paragraph" w:styleId="ab">
    <w:name w:val="List Paragraph"/>
    <w:basedOn w:val="a"/>
    <w:uiPriority w:val="34"/>
    <w:qFormat/>
    <w:rsid w:val="00F03849"/>
    <w:pPr>
      <w:ind w:left="720"/>
      <w:contextualSpacing/>
    </w:pPr>
  </w:style>
  <w:style w:type="paragraph" w:customStyle="1" w:styleId="110">
    <w:name w:val="1 Знак Знак Знак1 Знак"/>
    <w:basedOn w:val="a"/>
    <w:rsid w:val="00214288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20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F2000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BD01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D01B6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ae">
    <w:basedOn w:val="a"/>
    <w:next w:val="a7"/>
    <w:rsid w:val="00310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ody Text"/>
    <w:basedOn w:val="a"/>
    <w:link w:val="a8"/>
    <w:rsid w:val="00310142"/>
    <w:pPr>
      <w:spacing w:after="120" w:line="240" w:lineRule="auto"/>
    </w:pPr>
    <w:rPr>
      <w:sz w:val="24"/>
      <w:szCs w:val="24"/>
    </w:rPr>
  </w:style>
  <w:style w:type="character" w:customStyle="1" w:styleId="af">
    <w:name w:val="Основной текст Знак"/>
    <w:basedOn w:val="a0"/>
    <w:uiPriority w:val="99"/>
    <w:semiHidden/>
    <w:rsid w:val="00310142"/>
  </w:style>
  <w:style w:type="character" w:styleId="af0">
    <w:name w:val="annotation reference"/>
    <w:basedOn w:val="a0"/>
    <w:uiPriority w:val="99"/>
    <w:semiHidden/>
    <w:unhideWhenUsed/>
    <w:rsid w:val="00404B0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04B0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404B0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04B0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404B00"/>
    <w:rPr>
      <w:b/>
      <w:bCs/>
      <w:sz w:val="20"/>
      <w:szCs w:val="20"/>
    </w:rPr>
  </w:style>
  <w:style w:type="paragraph" w:styleId="20">
    <w:name w:val="Body Text Indent 2"/>
    <w:basedOn w:val="a"/>
    <w:link w:val="21"/>
    <w:rsid w:val="007279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1">
    <w:name w:val="Основний текст з відступом 2 Знак"/>
    <w:basedOn w:val="a0"/>
    <w:link w:val="20"/>
    <w:rsid w:val="0072794C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st">
    <w:name w:val="st"/>
    <w:rsid w:val="0072794C"/>
  </w:style>
  <w:style w:type="character" w:styleId="af5">
    <w:name w:val="Emphasis"/>
    <w:uiPriority w:val="20"/>
    <w:qFormat/>
    <w:rsid w:val="0072794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D0E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6">
    <w:name w:val="footer"/>
    <w:basedOn w:val="a"/>
    <w:link w:val="af7"/>
    <w:uiPriority w:val="99"/>
    <w:unhideWhenUsed/>
    <w:rsid w:val="00EB751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EB751C"/>
  </w:style>
  <w:style w:type="paragraph" w:styleId="af8">
    <w:name w:val="Revision"/>
    <w:hidden/>
    <w:uiPriority w:val="99"/>
    <w:semiHidden/>
    <w:rsid w:val="00C34D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C3440-FCCF-40DB-B6AC-9650AA54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7240</Words>
  <Characters>4127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Ященко Ольга Миколаївна</cp:lastModifiedBy>
  <cp:revision>4</cp:revision>
  <dcterms:created xsi:type="dcterms:W3CDTF">2022-09-23T13:25:00Z</dcterms:created>
  <dcterms:modified xsi:type="dcterms:W3CDTF">2022-09-23T13:25:00Z</dcterms:modified>
</cp:coreProperties>
</file>