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4C0651" w:rsidRPr="00BF6425" w14:paraId="1A9817DB" w14:textId="77777777" w:rsidTr="00B0743B">
        <w:trPr>
          <w:trHeight w:val="567"/>
        </w:trPr>
        <w:tc>
          <w:tcPr>
            <w:tcW w:w="9781" w:type="dxa"/>
          </w:tcPr>
          <w:p w14:paraId="4BBB49BB" w14:textId="77777777" w:rsidR="004C0651" w:rsidRPr="00BF6425" w:rsidRDefault="004C0651" w:rsidP="00B0743B">
            <w:pPr>
              <w:widowControl w:val="0"/>
              <w:jc w:val="center"/>
              <w:rPr>
                <w:b/>
                <w:color w:val="000000" w:themeColor="text1"/>
                <w:lang w:eastAsia="zh-CN"/>
              </w:rPr>
            </w:pPr>
            <w:bookmarkStart w:id="0" w:name="_GoBack"/>
            <w:bookmarkEnd w:id="0"/>
            <w:r w:rsidRPr="00BF6425">
              <w:rPr>
                <w:b/>
                <w:color w:val="000000" w:themeColor="text1"/>
                <w:lang w:eastAsia="zh-CN"/>
              </w:rPr>
              <w:t>Аналіз регуляторного впливу</w:t>
            </w:r>
          </w:p>
          <w:p w14:paraId="6B086093" w14:textId="77777777" w:rsidR="004C0651" w:rsidRPr="00BF6425" w:rsidRDefault="004C0651" w:rsidP="00B0743B">
            <w:pPr>
              <w:jc w:val="center"/>
              <w:rPr>
                <w:b/>
                <w:color w:val="000000" w:themeColor="text1"/>
                <w:lang w:eastAsia="zh-CN"/>
              </w:rPr>
            </w:pPr>
            <w:proofErr w:type="spellStart"/>
            <w:r w:rsidRPr="00BF6425">
              <w:rPr>
                <w:b/>
                <w:color w:val="000000" w:themeColor="text1"/>
                <w:lang w:eastAsia="zh-CN"/>
              </w:rPr>
              <w:t>проєкту</w:t>
            </w:r>
            <w:proofErr w:type="spellEnd"/>
            <w:r w:rsidRPr="00BF6425">
              <w:rPr>
                <w:b/>
                <w:color w:val="000000" w:themeColor="text1"/>
                <w:lang w:eastAsia="ru-RU"/>
              </w:rPr>
              <w:t xml:space="preserve"> </w:t>
            </w:r>
            <w:bookmarkStart w:id="1" w:name="_Hlk90394091"/>
            <w:r w:rsidRPr="00BF6425">
              <w:rPr>
                <w:b/>
                <w:color w:val="000000" w:themeColor="text1"/>
                <w:lang w:eastAsia="zh-CN"/>
              </w:rPr>
              <w:t xml:space="preserve">постанови Правління Національного банку України </w:t>
            </w:r>
          </w:p>
          <w:p w14:paraId="3B6DD8D8" w14:textId="77777777" w:rsidR="004C0651" w:rsidRPr="00BF6425" w:rsidRDefault="004C0651" w:rsidP="00B0743B">
            <w:pPr>
              <w:jc w:val="center"/>
              <w:rPr>
                <w:b/>
                <w:color w:val="000000" w:themeColor="text1"/>
                <w:lang w:eastAsia="zh-CN"/>
              </w:rPr>
            </w:pPr>
            <w:r w:rsidRPr="008159A4">
              <w:rPr>
                <w:b/>
                <w:color w:val="000000" w:themeColor="text1"/>
                <w:lang w:eastAsia="zh-CN"/>
              </w:rPr>
              <w:t>“</w:t>
            </w:r>
            <w:r w:rsidR="008159A4" w:rsidRPr="008159A4">
              <w:rPr>
                <w:b/>
                <w:color w:val="000000" w:themeColor="text1"/>
              </w:rPr>
              <w:t>Про визнання так</w:t>
            </w:r>
            <w:r w:rsidR="00BF2391">
              <w:rPr>
                <w:b/>
                <w:color w:val="000000" w:themeColor="text1"/>
              </w:rPr>
              <w:t>ими</w:t>
            </w:r>
            <w:r w:rsidR="008159A4" w:rsidRPr="008159A4">
              <w:rPr>
                <w:b/>
                <w:color w:val="000000" w:themeColor="text1"/>
              </w:rPr>
              <w:t>, що втратил</w:t>
            </w:r>
            <w:r w:rsidR="00BF2391">
              <w:rPr>
                <w:b/>
                <w:color w:val="000000" w:themeColor="text1"/>
              </w:rPr>
              <w:t>и</w:t>
            </w:r>
            <w:r w:rsidR="008159A4" w:rsidRPr="008159A4">
              <w:rPr>
                <w:b/>
                <w:color w:val="000000" w:themeColor="text1"/>
              </w:rPr>
              <w:t xml:space="preserve"> чинність, </w:t>
            </w:r>
            <w:r w:rsidR="00BF2391">
              <w:rPr>
                <w:b/>
                <w:color w:val="000000" w:themeColor="text1"/>
              </w:rPr>
              <w:t>деяких нормативно-правових актів Національного банку України</w:t>
            </w:r>
            <w:r w:rsidRPr="00BF6425">
              <w:rPr>
                <w:b/>
                <w:color w:val="000000" w:themeColor="text1"/>
                <w:lang w:eastAsia="zh-CN"/>
              </w:rPr>
              <w:t>”</w:t>
            </w:r>
          </w:p>
          <w:bookmarkEnd w:id="1"/>
          <w:p w14:paraId="0024B09D" w14:textId="77777777" w:rsidR="004C0651" w:rsidRPr="00BF6425" w:rsidRDefault="004C0651" w:rsidP="00B0743B">
            <w:pPr>
              <w:jc w:val="center"/>
              <w:rPr>
                <w:color w:val="000000" w:themeColor="text1"/>
              </w:rPr>
            </w:pPr>
          </w:p>
        </w:tc>
      </w:tr>
    </w:tbl>
    <w:p w14:paraId="57D7F577" w14:textId="77777777" w:rsidR="004C0651" w:rsidRPr="00BF6425" w:rsidRDefault="004C0651" w:rsidP="005B2FD5">
      <w:pPr>
        <w:widowControl w:val="0"/>
        <w:ind w:firstLine="567"/>
        <w:rPr>
          <w:b/>
          <w:color w:val="000000" w:themeColor="text1"/>
          <w:lang w:eastAsia="zh-CN"/>
        </w:rPr>
      </w:pPr>
      <w:r w:rsidRPr="00BF6425">
        <w:rPr>
          <w:b/>
          <w:color w:val="000000" w:themeColor="text1"/>
          <w:lang w:eastAsia="zh-CN"/>
        </w:rPr>
        <w:t>І. Визначення проблеми, яку передбачається розв’язати шляхом державного регулювання</w:t>
      </w:r>
    </w:p>
    <w:p w14:paraId="12F0B453" w14:textId="77801C29" w:rsidR="004566E9" w:rsidRPr="004566E9" w:rsidRDefault="004566E9" w:rsidP="005B2FD5">
      <w:pPr>
        <w:pStyle w:val="Default"/>
        <w:ind w:firstLine="567"/>
        <w:jc w:val="both"/>
        <w:rPr>
          <w:sz w:val="28"/>
          <w:szCs w:val="28"/>
        </w:rPr>
      </w:pPr>
      <w:r>
        <w:rPr>
          <w:color w:val="000000" w:themeColor="text1"/>
          <w:sz w:val="28"/>
          <w:szCs w:val="28"/>
        </w:rPr>
        <w:t>Відповідно до статей</w:t>
      </w:r>
      <w:r w:rsidRPr="00AC5FF8">
        <w:rPr>
          <w:color w:val="000000" w:themeColor="text1"/>
          <w:sz w:val="28"/>
          <w:szCs w:val="28"/>
        </w:rPr>
        <w:t xml:space="preserve"> 29, 30 Закону України “Про фінансові послуги та державне регулювання ринків фінансових послуг”</w:t>
      </w:r>
      <w:r>
        <w:rPr>
          <w:color w:val="000000" w:themeColor="text1"/>
          <w:sz w:val="28"/>
          <w:szCs w:val="28"/>
        </w:rPr>
        <w:t xml:space="preserve"> (далі – Закон про фінансові послуги) </w:t>
      </w:r>
      <w:r w:rsidRPr="00AC5FF8">
        <w:rPr>
          <w:color w:val="000000" w:themeColor="text1"/>
          <w:sz w:val="28"/>
          <w:szCs w:val="28"/>
        </w:rPr>
        <w:t>Національний банк</w:t>
      </w:r>
      <w:r>
        <w:rPr>
          <w:color w:val="000000" w:themeColor="text1"/>
          <w:sz w:val="28"/>
          <w:szCs w:val="28"/>
        </w:rPr>
        <w:t xml:space="preserve"> України </w:t>
      </w:r>
      <w:r w:rsidRPr="008C5FAB">
        <w:rPr>
          <w:color w:val="000000" w:themeColor="text1"/>
          <w:sz w:val="28"/>
          <w:szCs w:val="28"/>
        </w:rPr>
        <w:t>(далі – Національний банк)</w:t>
      </w:r>
      <w:r w:rsidRPr="00AC5FF8">
        <w:rPr>
          <w:color w:val="000000" w:themeColor="text1"/>
          <w:sz w:val="28"/>
          <w:szCs w:val="28"/>
        </w:rPr>
        <w:t xml:space="preserve"> </w:t>
      </w:r>
      <w:r w:rsidR="00B64891">
        <w:rPr>
          <w:color w:val="000000" w:themeColor="text1"/>
          <w:sz w:val="28"/>
          <w:szCs w:val="28"/>
        </w:rPr>
        <w:t>у</w:t>
      </w:r>
      <w:r w:rsidR="00B64891" w:rsidRPr="00AC5FF8">
        <w:rPr>
          <w:color w:val="000000" w:themeColor="text1"/>
          <w:sz w:val="28"/>
          <w:szCs w:val="28"/>
        </w:rPr>
        <w:t xml:space="preserve"> </w:t>
      </w:r>
      <w:r w:rsidRPr="00AC5FF8">
        <w:rPr>
          <w:color w:val="000000" w:themeColor="text1"/>
          <w:sz w:val="28"/>
          <w:szCs w:val="28"/>
        </w:rPr>
        <w:t>межах своїх повноважень здійснює нагляд за діяльністю на ринках небанківських фінансових послуг у формі безвиїзного нагляду та інспекційних перевірок відпов</w:t>
      </w:r>
      <w:r>
        <w:rPr>
          <w:color w:val="000000" w:themeColor="text1"/>
          <w:sz w:val="28"/>
          <w:szCs w:val="28"/>
        </w:rPr>
        <w:t xml:space="preserve">ідно </w:t>
      </w:r>
      <w:r w:rsidRPr="00AC5FF8">
        <w:rPr>
          <w:color w:val="000000" w:themeColor="text1"/>
          <w:sz w:val="28"/>
          <w:szCs w:val="28"/>
        </w:rPr>
        <w:t xml:space="preserve">до цього Закону та </w:t>
      </w:r>
      <w:r w:rsidRPr="001B1BAD">
        <w:rPr>
          <w:sz w:val="28"/>
          <w:szCs w:val="28"/>
        </w:rPr>
        <w:t>нормативно-правових актів Національного банку</w:t>
      </w:r>
      <w:r>
        <w:rPr>
          <w:sz w:val="28"/>
          <w:szCs w:val="28"/>
        </w:rPr>
        <w:t xml:space="preserve">. Зокрема, Національний банк проводить планові інспекційні перевірки діяльності учасників ринків фінансових послуг та затверджує критерії, за якими оцінюється ступінь ризику від здійснення діяльності учасниками ринку небанківських фінансових послуг та їх суспільної важливості, на підставі яких визначає </w:t>
      </w:r>
      <w:r w:rsidRPr="001B1BAD">
        <w:rPr>
          <w:sz w:val="28"/>
          <w:szCs w:val="28"/>
        </w:rPr>
        <w:t>інтенсивн</w:t>
      </w:r>
      <w:r>
        <w:rPr>
          <w:sz w:val="28"/>
          <w:szCs w:val="28"/>
        </w:rPr>
        <w:t>і</w:t>
      </w:r>
      <w:r w:rsidRPr="001B1BAD">
        <w:rPr>
          <w:sz w:val="28"/>
          <w:szCs w:val="28"/>
        </w:rPr>
        <w:t>ст</w:t>
      </w:r>
      <w:r>
        <w:rPr>
          <w:sz w:val="28"/>
          <w:szCs w:val="28"/>
        </w:rPr>
        <w:t>ь</w:t>
      </w:r>
      <w:r w:rsidRPr="001B1BAD">
        <w:rPr>
          <w:sz w:val="28"/>
          <w:szCs w:val="28"/>
        </w:rPr>
        <w:t xml:space="preserve"> наглядових дій щодо учасників ринків небанківських фінансових послуг, регулювання і нагляд за якими здійснює Національний банк, та порядок їх застосування</w:t>
      </w:r>
      <w:r>
        <w:rPr>
          <w:sz w:val="28"/>
          <w:szCs w:val="28"/>
        </w:rPr>
        <w:t>.</w:t>
      </w:r>
    </w:p>
    <w:p w14:paraId="374294E4" w14:textId="0D8EA406" w:rsidR="004566E9" w:rsidRPr="004566E9" w:rsidRDefault="004566E9" w:rsidP="005B2FD5">
      <w:pPr>
        <w:pStyle w:val="Default"/>
        <w:ind w:firstLine="567"/>
        <w:jc w:val="both"/>
        <w:rPr>
          <w:sz w:val="28"/>
          <w:szCs w:val="28"/>
        </w:rPr>
      </w:pPr>
      <w:r>
        <w:rPr>
          <w:sz w:val="28"/>
          <w:szCs w:val="28"/>
        </w:rPr>
        <w:t xml:space="preserve">Станом на сьогодні Національний банк оцінює </w:t>
      </w:r>
      <w:r w:rsidRPr="00CA5CD7">
        <w:rPr>
          <w:sz w:val="28"/>
          <w:szCs w:val="28"/>
        </w:rPr>
        <w:t xml:space="preserve">ступінь ризику від здійснення діяльності учасниками ринку небанківських фінансових послуг та </w:t>
      </w:r>
      <w:r>
        <w:rPr>
          <w:sz w:val="28"/>
          <w:szCs w:val="28"/>
        </w:rPr>
        <w:t xml:space="preserve">ступінь </w:t>
      </w:r>
      <w:r w:rsidRPr="00CA5CD7">
        <w:rPr>
          <w:sz w:val="28"/>
          <w:szCs w:val="28"/>
        </w:rPr>
        <w:t>їх суспільної важливості</w:t>
      </w:r>
      <w:r w:rsidRPr="006C07A6">
        <w:rPr>
          <w:sz w:val="28"/>
          <w:szCs w:val="28"/>
        </w:rPr>
        <w:t xml:space="preserve"> відповідно до</w:t>
      </w:r>
      <w:r>
        <w:rPr>
          <w:bCs/>
        </w:rPr>
        <w:t xml:space="preserve"> </w:t>
      </w:r>
      <w:r w:rsidRPr="006C07A6">
        <w:rPr>
          <w:sz w:val="28"/>
          <w:szCs w:val="28"/>
        </w:rPr>
        <w:t>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r>
        <w:rPr>
          <w:sz w:val="28"/>
          <w:szCs w:val="28"/>
        </w:rPr>
        <w:t xml:space="preserve">, затвердженого постановою Правління Національного банку України від 11 грудня 2020 року № 157 </w:t>
      </w:r>
      <w:r w:rsidR="00986500">
        <w:rPr>
          <w:sz w:val="28"/>
          <w:szCs w:val="28"/>
        </w:rPr>
        <w:t xml:space="preserve">(зі змінами) </w:t>
      </w:r>
      <w:r w:rsidRPr="008C5FAB">
        <w:rPr>
          <w:sz w:val="28"/>
          <w:szCs w:val="28"/>
        </w:rPr>
        <w:t>(далі – Положення про встановлення критеріїв)</w:t>
      </w:r>
      <w:r>
        <w:rPr>
          <w:sz w:val="28"/>
          <w:szCs w:val="28"/>
        </w:rPr>
        <w:t xml:space="preserve">. Разом </w:t>
      </w:r>
      <w:r w:rsidR="00B50B0F">
        <w:rPr>
          <w:sz w:val="28"/>
          <w:szCs w:val="28"/>
        </w:rPr>
        <w:t>і</w:t>
      </w:r>
      <w:r>
        <w:rPr>
          <w:sz w:val="28"/>
          <w:szCs w:val="28"/>
        </w:rPr>
        <w:t xml:space="preserve">з тим під час практичного застосування критеріїв, визначених Положенням про встановлення критеріїв, виникла необхідність перегляду та вдосконалення деяких </w:t>
      </w:r>
      <w:r w:rsidR="00B50B0F">
        <w:rPr>
          <w:sz w:val="28"/>
          <w:szCs w:val="28"/>
        </w:rPr>
        <w:t>і</w:t>
      </w:r>
      <w:r>
        <w:rPr>
          <w:sz w:val="28"/>
          <w:szCs w:val="28"/>
        </w:rPr>
        <w:t>з них шляхом</w:t>
      </w:r>
      <w:r w:rsidR="0095773C">
        <w:rPr>
          <w:sz w:val="28"/>
          <w:szCs w:val="28"/>
        </w:rPr>
        <w:t xml:space="preserve"> </w:t>
      </w:r>
      <w:r>
        <w:rPr>
          <w:sz w:val="28"/>
          <w:szCs w:val="28"/>
        </w:rPr>
        <w:t xml:space="preserve">визнання </w:t>
      </w:r>
      <w:r w:rsidR="00176985">
        <w:rPr>
          <w:sz w:val="28"/>
          <w:szCs w:val="28"/>
        </w:rPr>
        <w:t>таким</w:t>
      </w:r>
      <w:r>
        <w:rPr>
          <w:sz w:val="28"/>
          <w:szCs w:val="28"/>
        </w:rPr>
        <w:t>, що втратил</w:t>
      </w:r>
      <w:r w:rsidR="00176985">
        <w:rPr>
          <w:sz w:val="28"/>
          <w:szCs w:val="28"/>
        </w:rPr>
        <w:t>о</w:t>
      </w:r>
      <w:r>
        <w:rPr>
          <w:sz w:val="28"/>
          <w:szCs w:val="28"/>
        </w:rPr>
        <w:t xml:space="preserve"> чинність</w:t>
      </w:r>
      <w:r w:rsidR="0095773C">
        <w:rPr>
          <w:sz w:val="28"/>
          <w:szCs w:val="28"/>
        </w:rPr>
        <w:t>,</w:t>
      </w:r>
      <w:r>
        <w:rPr>
          <w:sz w:val="28"/>
          <w:szCs w:val="28"/>
        </w:rPr>
        <w:t xml:space="preserve"> Полож</w:t>
      </w:r>
      <w:r w:rsidR="00E97188">
        <w:rPr>
          <w:sz w:val="28"/>
          <w:szCs w:val="28"/>
        </w:rPr>
        <w:t>ення про встановлення критеріїв</w:t>
      </w:r>
      <w:r w:rsidR="0095773C">
        <w:rPr>
          <w:sz w:val="28"/>
          <w:szCs w:val="28"/>
          <w:lang w:val="ru-RU"/>
        </w:rPr>
        <w:t xml:space="preserve"> та</w:t>
      </w:r>
      <w:r w:rsidR="00176985" w:rsidRPr="00176985">
        <w:rPr>
          <w:sz w:val="28"/>
          <w:szCs w:val="28"/>
          <w:lang w:val="ru-RU"/>
        </w:rPr>
        <w:t xml:space="preserve"> </w:t>
      </w:r>
      <w:r w:rsidR="00176985">
        <w:rPr>
          <w:sz w:val="28"/>
          <w:szCs w:val="28"/>
        </w:rPr>
        <w:t xml:space="preserve">прийняття нового </w:t>
      </w:r>
      <w:r w:rsidR="00E97188">
        <w:rPr>
          <w:sz w:val="28"/>
          <w:szCs w:val="28"/>
        </w:rPr>
        <w:t>нормативно-правов</w:t>
      </w:r>
      <w:r w:rsidR="00176985">
        <w:rPr>
          <w:sz w:val="28"/>
          <w:szCs w:val="28"/>
        </w:rPr>
        <w:t>ого</w:t>
      </w:r>
      <w:r w:rsidR="00E97188">
        <w:rPr>
          <w:sz w:val="28"/>
          <w:szCs w:val="28"/>
        </w:rPr>
        <w:t xml:space="preserve"> </w:t>
      </w:r>
      <w:proofErr w:type="spellStart"/>
      <w:r w:rsidR="00E97188">
        <w:rPr>
          <w:sz w:val="28"/>
          <w:szCs w:val="28"/>
        </w:rPr>
        <w:t>акт</w:t>
      </w:r>
      <w:r w:rsidR="00176985">
        <w:rPr>
          <w:sz w:val="28"/>
          <w:szCs w:val="28"/>
        </w:rPr>
        <w:t>а</w:t>
      </w:r>
      <w:proofErr w:type="spellEnd"/>
      <w:r w:rsidR="00E97188">
        <w:rPr>
          <w:sz w:val="28"/>
          <w:szCs w:val="28"/>
        </w:rPr>
        <w:t>, який визначатиме</w:t>
      </w:r>
      <w:r>
        <w:rPr>
          <w:sz w:val="28"/>
          <w:szCs w:val="28"/>
        </w:rPr>
        <w:t xml:space="preserve"> </w:t>
      </w:r>
      <w:r w:rsidR="00176985">
        <w:rPr>
          <w:sz w:val="28"/>
          <w:szCs w:val="28"/>
        </w:rPr>
        <w:t xml:space="preserve">оновлені </w:t>
      </w:r>
      <w:r w:rsidRPr="00446014">
        <w:rPr>
          <w:sz w:val="28"/>
          <w:szCs w:val="28"/>
        </w:rPr>
        <w:t xml:space="preserve">критерії, за якими оцінюється ступінь ризику від здійснення діяльності учасниками ринку небанківських фінансових послуг, їх </w:t>
      </w:r>
      <w:r w:rsidR="00E97188" w:rsidRPr="00446014">
        <w:rPr>
          <w:sz w:val="28"/>
          <w:szCs w:val="28"/>
        </w:rPr>
        <w:t>суспільн</w:t>
      </w:r>
      <w:r w:rsidR="00E97188">
        <w:rPr>
          <w:sz w:val="28"/>
          <w:szCs w:val="28"/>
        </w:rPr>
        <w:t xml:space="preserve">а </w:t>
      </w:r>
      <w:r w:rsidR="00E97188" w:rsidRPr="00446014">
        <w:rPr>
          <w:sz w:val="28"/>
          <w:szCs w:val="28"/>
        </w:rPr>
        <w:t>важлив</w:t>
      </w:r>
      <w:r w:rsidR="00E97188">
        <w:rPr>
          <w:sz w:val="28"/>
          <w:szCs w:val="28"/>
        </w:rPr>
        <w:t>ість</w:t>
      </w:r>
      <w:r>
        <w:rPr>
          <w:sz w:val="28"/>
          <w:szCs w:val="28"/>
        </w:rPr>
        <w:t xml:space="preserve">. </w:t>
      </w:r>
    </w:p>
    <w:p w14:paraId="1056C646" w14:textId="77777777" w:rsidR="004C0651" w:rsidRPr="00BF6425" w:rsidRDefault="004C0651" w:rsidP="005B2FD5">
      <w:pPr>
        <w:widowControl w:val="0"/>
        <w:shd w:val="clear" w:color="auto" w:fill="FFFFFF"/>
        <w:ind w:firstLine="567"/>
        <w:rPr>
          <w:color w:val="000000" w:themeColor="text1"/>
          <w:lang w:eastAsia="zh-CN"/>
        </w:rPr>
      </w:pPr>
    </w:p>
    <w:p w14:paraId="6C011DEE" w14:textId="77777777" w:rsidR="004C0651" w:rsidRPr="00BF6425" w:rsidRDefault="004C0651" w:rsidP="005B2FD5">
      <w:pPr>
        <w:widowControl w:val="0"/>
        <w:ind w:firstLine="567"/>
        <w:rPr>
          <w:b/>
          <w:color w:val="000000" w:themeColor="text1"/>
          <w:lang w:eastAsia="zh-CN"/>
        </w:rPr>
      </w:pPr>
      <w:r w:rsidRPr="00BF6425">
        <w:rPr>
          <w:b/>
          <w:color w:val="000000" w:themeColor="text1"/>
          <w:lang w:eastAsia="zh-CN"/>
        </w:rPr>
        <w:t xml:space="preserve">ІІ. Визначення цілей державного регулювання </w:t>
      </w:r>
    </w:p>
    <w:p w14:paraId="01E61DA3" w14:textId="77777777" w:rsidR="004C0651" w:rsidRPr="00BF6425" w:rsidRDefault="004C0651" w:rsidP="005B2FD5">
      <w:pPr>
        <w:widowControl w:val="0"/>
        <w:ind w:firstLine="567"/>
        <w:rPr>
          <w:color w:val="000000" w:themeColor="text1"/>
          <w:lang w:eastAsia="ru-RU"/>
        </w:rPr>
      </w:pPr>
      <w:r w:rsidRPr="00BF6425">
        <w:rPr>
          <w:color w:val="000000" w:themeColor="text1"/>
          <w:lang w:eastAsia="ru-RU"/>
        </w:rPr>
        <w:t xml:space="preserve">Цілями державного регулювання, що безпосередньо пов’язані з вирішенням зазначених проблем, є забезпечення здійснення Національним банком функцій </w:t>
      </w:r>
      <w:r w:rsidRPr="00BF6425">
        <w:rPr>
          <w:color w:val="000000" w:themeColor="text1"/>
          <w:lang w:eastAsia="zh-CN"/>
        </w:rPr>
        <w:t xml:space="preserve">регулювання </w:t>
      </w:r>
      <w:r w:rsidRPr="00BF6425">
        <w:rPr>
          <w:rFonts w:eastAsia="Calibri"/>
          <w:color w:val="000000" w:themeColor="text1"/>
          <w:lang w:eastAsia="en-US"/>
        </w:rPr>
        <w:t>та нагляду на індивідуальній основі на ринках небанківських фінансових послуг за діяльністю учасників ринку небанківських фінансових послуг із дотриманням принципів законності, співмірності, відкритості та прозорості</w:t>
      </w:r>
      <w:r w:rsidRPr="00BF6425">
        <w:rPr>
          <w:color w:val="000000" w:themeColor="text1"/>
          <w:lang w:eastAsia="ru-RU"/>
        </w:rPr>
        <w:t xml:space="preserve">. </w:t>
      </w:r>
    </w:p>
    <w:p w14:paraId="740BB886" w14:textId="446F113D" w:rsidR="004C0651" w:rsidRPr="00BF6425" w:rsidRDefault="004C0651" w:rsidP="005B2FD5">
      <w:pPr>
        <w:widowControl w:val="0"/>
        <w:ind w:firstLine="567"/>
        <w:rPr>
          <w:color w:val="000000" w:themeColor="text1"/>
          <w:lang w:eastAsia="zh-CN"/>
        </w:rPr>
      </w:pPr>
      <w:proofErr w:type="spellStart"/>
      <w:r w:rsidRPr="00BF6425">
        <w:rPr>
          <w:color w:val="000000" w:themeColor="text1"/>
          <w:lang w:eastAsia="zh-CN"/>
        </w:rPr>
        <w:t>Проєкт</w:t>
      </w:r>
      <w:proofErr w:type="spellEnd"/>
      <w:r w:rsidRPr="00BF6425">
        <w:rPr>
          <w:color w:val="000000" w:themeColor="text1"/>
          <w:lang w:eastAsia="zh-CN"/>
        </w:rPr>
        <w:t xml:space="preserve"> постанови </w:t>
      </w:r>
      <w:r w:rsidR="005B4233">
        <w:rPr>
          <w:color w:val="000000" w:themeColor="text1"/>
          <w:lang w:eastAsia="ru-RU"/>
        </w:rPr>
        <w:t xml:space="preserve">Правління Національного банку </w:t>
      </w:r>
      <w:r w:rsidR="005B4233" w:rsidRPr="00B2532C">
        <w:rPr>
          <w:color w:val="000000" w:themeColor="text1"/>
        </w:rPr>
        <w:t>“</w:t>
      </w:r>
      <w:r w:rsidR="005B4233" w:rsidRPr="005E1BDC">
        <w:rPr>
          <w:color w:val="000000" w:themeColor="text1"/>
        </w:rPr>
        <w:t>Про визнання так</w:t>
      </w:r>
      <w:r w:rsidR="00BF2391">
        <w:rPr>
          <w:color w:val="000000" w:themeColor="text1"/>
        </w:rPr>
        <w:t>ими</w:t>
      </w:r>
      <w:r w:rsidR="005B4233" w:rsidRPr="005E1BDC">
        <w:rPr>
          <w:color w:val="000000" w:themeColor="text1"/>
        </w:rPr>
        <w:t>, що втрати</w:t>
      </w:r>
      <w:r w:rsidR="00BF2391">
        <w:rPr>
          <w:color w:val="000000" w:themeColor="text1"/>
        </w:rPr>
        <w:t>ли</w:t>
      </w:r>
      <w:r w:rsidR="005B4233" w:rsidRPr="005E1BDC">
        <w:rPr>
          <w:color w:val="000000" w:themeColor="text1"/>
        </w:rPr>
        <w:t xml:space="preserve"> чинність, </w:t>
      </w:r>
      <w:r w:rsidR="00BF2391">
        <w:rPr>
          <w:color w:val="000000" w:themeColor="text1"/>
        </w:rPr>
        <w:t xml:space="preserve">деяких нормативно-правових актів Національного банку </w:t>
      </w:r>
      <w:r w:rsidR="00BF2391">
        <w:rPr>
          <w:color w:val="000000" w:themeColor="text1"/>
        </w:rPr>
        <w:lastRenderedPageBreak/>
        <w:t>України</w:t>
      </w:r>
      <w:r w:rsidR="005B4233" w:rsidRPr="00B2532C">
        <w:rPr>
          <w:color w:val="000000" w:themeColor="text1"/>
          <w:lang w:eastAsia="zh-CN"/>
        </w:rPr>
        <w:t>”</w:t>
      </w:r>
      <w:r w:rsidR="005B4233">
        <w:rPr>
          <w:color w:val="000000" w:themeColor="text1"/>
          <w:lang w:eastAsia="zh-CN"/>
        </w:rPr>
        <w:t xml:space="preserve"> </w:t>
      </w:r>
      <w:r w:rsidRPr="008C5FAB">
        <w:rPr>
          <w:color w:val="000000" w:themeColor="text1"/>
          <w:lang w:eastAsia="zh-CN"/>
        </w:rPr>
        <w:t xml:space="preserve">(далі – </w:t>
      </w:r>
      <w:proofErr w:type="spellStart"/>
      <w:r w:rsidRPr="008C5FAB">
        <w:rPr>
          <w:color w:val="000000" w:themeColor="text1"/>
          <w:lang w:eastAsia="zh-CN"/>
        </w:rPr>
        <w:t>проєкт</w:t>
      </w:r>
      <w:proofErr w:type="spellEnd"/>
      <w:r w:rsidRPr="008C5FAB">
        <w:rPr>
          <w:color w:val="000000" w:themeColor="text1"/>
          <w:lang w:eastAsia="zh-CN"/>
        </w:rPr>
        <w:t xml:space="preserve"> постанови)</w:t>
      </w:r>
      <w:r w:rsidRPr="00BF6425">
        <w:rPr>
          <w:b/>
          <w:color w:val="000000" w:themeColor="text1"/>
          <w:lang w:eastAsia="zh-CN"/>
        </w:rPr>
        <w:t xml:space="preserve"> </w:t>
      </w:r>
      <w:r w:rsidRPr="00BF6425">
        <w:rPr>
          <w:color w:val="000000" w:themeColor="text1"/>
          <w:lang w:eastAsia="zh-CN"/>
        </w:rPr>
        <w:t xml:space="preserve">розроблено </w:t>
      </w:r>
      <w:r w:rsidR="00EF1441">
        <w:t xml:space="preserve">з огляду на </w:t>
      </w:r>
      <w:r w:rsidR="00B50B0F">
        <w:t xml:space="preserve">розроблення </w:t>
      </w:r>
      <w:r w:rsidR="00EF1441">
        <w:t xml:space="preserve">нового нормативно-правового </w:t>
      </w:r>
      <w:proofErr w:type="spellStart"/>
      <w:r w:rsidR="00EF1441">
        <w:t>акта</w:t>
      </w:r>
      <w:proofErr w:type="spellEnd"/>
      <w:r w:rsidR="00EF1441">
        <w:t xml:space="preserve">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суспільна важливість. </w:t>
      </w:r>
      <w:r w:rsidR="00F70515">
        <w:t>Новий нормативно-правовий акт</w:t>
      </w:r>
      <w:r w:rsidR="00EF1441">
        <w:t xml:space="preserve"> регулює питання аналогічні за змістом Положенню про встановлення критеріїв. Відтак приписи Положення про встановлення критеріїв є такими, що поглинуті новим актом</w:t>
      </w:r>
      <w:r w:rsidR="005B4233">
        <w:rPr>
          <w:color w:val="000000" w:themeColor="text1"/>
        </w:rPr>
        <w:t>.</w:t>
      </w:r>
    </w:p>
    <w:p w14:paraId="00B2E35F" w14:textId="77777777" w:rsidR="004C0651" w:rsidRPr="00BF6425" w:rsidRDefault="004C0651" w:rsidP="005B2FD5">
      <w:pPr>
        <w:widowControl w:val="0"/>
        <w:ind w:firstLine="567"/>
        <w:rPr>
          <w:color w:val="000000" w:themeColor="text1"/>
          <w:lang w:eastAsia="zh-CN"/>
        </w:rPr>
      </w:pPr>
    </w:p>
    <w:p w14:paraId="69C97346" w14:textId="77777777" w:rsidR="004C0651" w:rsidRPr="00BF6425" w:rsidRDefault="004C0651" w:rsidP="005B2FD5">
      <w:pPr>
        <w:widowControl w:val="0"/>
        <w:ind w:firstLine="567"/>
        <w:rPr>
          <w:b/>
          <w:color w:val="000000" w:themeColor="text1"/>
          <w:lang w:eastAsia="zh-CN"/>
        </w:rPr>
      </w:pPr>
      <w:r w:rsidRPr="00BF6425">
        <w:rPr>
          <w:b/>
          <w:color w:val="000000" w:themeColor="text1"/>
          <w:lang w:eastAsia="zh-CN"/>
        </w:rPr>
        <w:t>ІІІ. Визначення та оцінка всіх прийнятних альтернативних способів досягнення зазначених цілей, наведення аргументів щодо переваги обраного способу</w:t>
      </w:r>
    </w:p>
    <w:p w14:paraId="1CB41429" w14:textId="15362AC0" w:rsidR="000945C4" w:rsidRPr="00BF6425" w:rsidRDefault="000945C4" w:rsidP="005B2FD5">
      <w:pPr>
        <w:widowControl w:val="0"/>
        <w:ind w:firstLine="567"/>
        <w:rPr>
          <w:color w:val="000000" w:themeColor="text1"/>
          <w:lang w:eastAsia="ru-RU"/>
        </w:rPr>
      </w:pPr>
      <w:r>
        <w:rPr>
          <w:color w:val="000000" w:themeColor="text1"/>
          <w:lang w:eastAsia="ru-RU"/>
        </w:rPr>
        <w:t xml:space="preserve">З урахуванням </w:t>
      </w:r>
      <w:r w:rsidR="002A2047">
        <w:rPr>
          <w:color w:val="000000" w:themeColor="text1"/>
          <w:lang w:eastAsia="ru-RU"/>
        </w:rPr>
        <w:t xml:space="preserve">розроблення </w:t>
      </w:r>
      <w:r>
        <w:t xml:space="preserve">нового нормативно-правового </w:t>
      </w:r>
      <w:proofErr w:type="spellStart"/>
      <w:r>
        <w:t>акта</w:t>
      </w:r>
      <w:proofErr w:type="spellEnd"/>
      <w:r>
        <w:t xml:space="preserve">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суспільна важливість, та повного поглинання ним приписів Положення про встановлення критеріїв </w:t>
      </w:r>
      <w:r w:rsidR="00E72862">
        <w:t xml:space="preserve">немає альтернативного способу </w:t>
      </w:r>
      <w:r w:rsidRPr="00BF6425">
        <w:rPr>
          <w:color w:val="000000" w:themeColor="text1"/>
          <w:lang w:eastAsia="ru-RU"/>
        </w:rPr>
        <w:t>досягнення зазначених цілей</w:t>
      </w:r>
      <w:r>
        <w:t>, крім як визнання таким, що втратило чинність</w:t>
      </w:r>
      <w:r w:rsidR="009615DE">
        <w:t xml:space="preserve">, </w:t>
      </w:r>
      <w:r w:rsidRPr="0014310D">
        <w:rPr>
          <w:color w:val="000000" w:themeColor="text1"/>
          <w:lang w:eastAsia="ru-RU"/>
        </w:rPr>
        <w:t>Положення про встановлення критеріїв</w:t>
      </w:r>
      <w:r>
        <w:rPr>
          <w:color w:val="000000" w:themeColor="text1"/>
          <w:lang w:eastAsia="ru-RU"/>
        </w:rPr>
        <w:t>.</w:t>
      </w:r>
    </w:p>
    <w:p w14:paraId="43762FC7" w14:textId="77777777" w:rsidR="004C0651" w:rsidRPr="00BF6425" w:rsidRDefault="004C0651" w:rsidP="005B2FD5">
      <w:pPr>
        <w:widowControl w:val="0"/>
        <w:ind w:firstLine="567"/>
        <w:rPr>
          <w:color w:val="000000" w:themeColor="text1"/>
          <w:lang w:eastAsia="zh-CN"/>
        </w:rPr>
      </w:pPr>
    </w:p>
    <w:p w14:paraId="2813CFB1" w14:textId="77777777" w:rsidR="004C0651" w:rsidRDefault="004C0651" w:rsidP="005B2FD5">
      <w:pPr>
        <w:widowControl w:val="0"/>
        <w:ind w:firstLine="567"/>
        <w:rPr>
          <w:b/>
          <w:color w:val="000000" w:themeColor="text1"/>
          <w:lang w:eastAsia="zh-CN"/>
        </w:rPr>
      </w:pPr>
      <w:r w:rsidRPr="00BF6425">
        <w:rPr>
          <w:b/>
          <w:color w:val="000000" w:themeColor="text1"/>
          <w:lang w:eastAsia="zh-CN"/>
        </w:rPr>
        <w:t>ІV. Опис механізму, який пропонується застосувати для розв’язання проблеми, і відповідних заходів</w:t>
      </w:r>
    </w:p>
    <w:p w14:paraId="1B139072" w14:textId="069C2A92" w:rsidR="000E52C4" w:rsidRPr="000E52C4" w:rsidRDefault="000E52C4" w:rsidP="005B2FD5">
      <w:pPr>
        <w:widowControl w:val="0"/>
        <w:ind w:firstLine="567"/>
        <w:rPr>
          <w:color w:val="000000" w:themeColor="text1"/>
          <w:szCs w:val="24"/>
        </w:rPr>
      </w:pPr>
      <w:proofErr w:type="spellStart"/>
      <w:r w:rsidRPr="000E52C4">
        <w:rPr>
          <w:color w:val="000000" w:themeColor="text1"/>
          <w:szCs w:val="24"/>
        </w:rPr>
        <w:t>Проєктом</w:t>
      </w:r>
      <w:proofErr w:type="spellEnd"/>
      <w:r w:rsidRPr="000E52C4">
        <w:rPr>
          <w:color w:val="000000" w:themeColor="text1"/>
          <w:szCs w:val="24"/>
        </w:rPr>
        <w:t xml:space="preserve"> постанови пропонується ви</w:t>
      </w:r>
      <w:r>
        <w:rPr>
          <w:color w:val="000000" w:themeColor="text1"/>
          <w:szCs w:val="24"/>
        </w:rPr>
        <w:t xml:space="preserve">знати </w:t>
      </w:r>
      <w:r>
        <w:rPr>
          <w:rFonts w:eastAsiaTheme="minorHAnsi"/>
          <w:color w:val="000000" w:themeColor="text1"/>
          <w:lang w:eastAsia="en-US"/>
        </w:rPr>
        <w:t>такою</w:t>
      </w:r>
      <w:r w:rsidRPr="005E1BDC">
        <w:rPr>
          <w:color w:val="000000" w:themeColor="text1"/>
        </w:rPr>
        <w:t>, що втратила чинність</w:t>
      </w:r>
      <w:r>
        <w:rPr>
          <w:color w:val="000000" w:themeColor="text1"/>
        </w:rPr>
        <w:t xml:space="preserve">, </w:t>
      </w:r>
      <w:r w:rsidR="00A25863" w:rsidRPr="005E1BDC">
        <w:rPr>
          <w:color w:val="000000" w:themeColor="text1"/>
        </w:rPr>
        <w:t>постанов</w:t>
      </w:r>
      <w:r w:rsidR="00CE7365">
        <w:rPr>
          <w:color w:val="000000" w:themeColor="text1"/>
        </w:rPr>
        <w:t>у</w:t>
      </w:r>
      <w:r w:rsidR="00A25863" w:rsidRPr="005E1BDC">
        <w:rPr>
          <w:color w:val="000000" w:themeColor="text1"/>
        </w:rPr>
        <w:t xml:space="preserve"> </w:t>
      </w:r>
      <w:r w:rsidRPr="005E1BDC">
        <w:rPr>
          <w:color w:val="000000" w:themeColor="text1"/>
        </w:rPr>
        <w:t>Правління Національного банку України від 11 грудня 202</w:t>
      </w:r>
      <w:r>
        <w:rPr>
          <w:color w:val="000000" w:themeColor="text1"/>
        </w:rPr>
        <w:t>0</w:t>
      </w:r>
      <w:r w:rsidRPr="005E1BDC">
        <w:rPr>
          <w:color w:val="000000" w:themeColor="text1"/>
        </w:rPr>
        <w:t xml:space="preserve"> року </w:t>
      </w:r>
      <w:r w:rsidR="00F90BE2">
        <w:rPr>
          <w:color w:val="000000" w:themeColor="text1"/>
        </w:rPr>
        <w:br/>
      </w:r>
      <w:r w:rsidRPr="005E1BDC">
        <w:rPr>
          <w:color w:val="000000" w:themeColor="text1"/>
        </w:rPr>
        <w:t>№ 157</w:t>
      </w:r>
      <w:r>
        <w:rPr>
          <w:color w:val="000000" w:themeColor="text1"/>
        </w:rPr>
        <w:t xml:space="preserve"> </w:t>
      </w:r>
      <w:r w:rsidRPr="00D914BC">
        <w:rPr>
          <w:color w:val="000000" w:themeColor="text1"/>
        </w:rPr>
        <w:t>“Про затвердження 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r w:rsidR="00A25863">
        <w:rPr>
          <w:color w:val="000000" w:themeColor="text1"/>
        </w:rPr>
        <w:t xml:space="preserve"> </w:t>
      </w:r>
      <w:r w:rsidR="00A25863">
        <w:t>(зі змінами)</w:t>
      </w:r>
      <w:r>
        <w:rPr>
          <w:color w:val="000000" w:themeColor="text1"/>
        </w:rPr>
        <w:t>.</w:t>
      </w:r>
    </w:p>
    <w:p w14:paraId="58992268" w14:textId="77777777" w:rsidR="004C0651" w:rsidRPr="00BF6425" w:rsidRDefault="004C0651" w:rsidP="005B2FD5">
      <w:pPr>
        <w:widowControl w:val="0"/>
        <w:ind w:firstLine="567"/>
        <w:rPr>
          <w:color w:val="000000" w:themeColor="text1"/>
          <w:lang w:eastAsia="zh-CN"/>
        </w:rPr>
      </w:pPr>
    </w:p>
    <w:p w14:paraId="05C9C414" w14:textId="77777777" w:rsidR="004C0651" w:rsidRDefault="004C0651" w:rsidP="005B2FD5">
      <w:pPr>
        <w:widowControl w:val="0"/>
        <w:ind w:firstLine="567"/>
        <w:rPr>
          <w:rFonts w:eastAsia="Arial Unicode MS"/>
          <w:b/>
          <w:color w:val="000000" w:themeColor="text1"/>
          <w:lang w:eastAsia="zh-CN"/>
        </w:rPr>
      </w:pPr>
      <w:r w:rsidRPr="00BF6425">
        <w:rPr>
          <w:rFonts w:eastAsia="Arial Unicode MS"/>
          <w:b/>
          <w:color w:val="000000" w:themeColor="text1"/>
          <w:lang w:eastAsia="zh-CN"/>
        </w:rPr>
        <w:t xml:space="preserve">V. Обґрунтування можливості досягнення визначених цілей у разі прийняття регуляторного </w:t>
      </w:r>
      <w:proofErr w:type="spellStart"/>
      <w:r w:rsidRPr="00BF6425">
        <w:rPr>
          <w:rFonts w:eastAsia="Arial Unicode MS"/>
          <w:b/>
          <w:color w:val="000000" w:themeColor="text1"/>
          <w:lang w:eastAsia="zh-CN"/>
        </w:rPr>
        <w:t>акта</w:t>
      </w:r>
      <w:proofErr w:type="spellEnd"/>
    </w:p>
    <w:p w14:paraId="2873F401" w14:textId="596C943A" w:rsidR="007F15FC" w:rsidRPr="007174F4" w:rsidRDefault="007F15FC" w:rsidP="005B2FD5">
      <w:pPr>
        <w:ind w:firstLine="567"/>
        <w:rPr>
          <w:color w:val="000000" w:themeColor="text1"/>
        </w:rPr>
      </w:pPr>
      <w:r w:rsidRPr="007F15FC">
        <w:rPr>
          <w:rFonts w:eastAsia="Arial Unicode MS"/>
          <w:color w:val="000000" w:themeColor="text1"/>
          <w:lang w:eastAsia="zh-CN"/>
        </w:rPr>
        <w:t xml:space="preserve">Вимоги регуляторного </w:t>
      </w:r>
      <w:proofErr w:type="spellStart"/>
      <w:r w:rsidRPr="007F15FC">
        <w:rPr>
          <w:rFonts w:eastAsia="Arial Unicode MS"/>
          <w:color w:val="000000" w:themeColor="text1"/>
          <w:lang w:eastAsia="zh-CN"/>
        </w:rPr>
        <w:t>акта</w:t>
      </w:r>
      <w:proofErr w:type="spellEnd"/>
      <w:r w:rsidRPr="007F15FC">
        <w:rPr>
          <w:rFonts w:eastAsia="Arial Unicode MS"/>
          <w:color w:val="000000" w:themeColor="text1"/>
          <w:lang w:eastAsia="zh-CN"/>
        </w:rPr>
        <w:t xml:space="preserve"> будуть </w:t>
      </w:r>
      <w:r w:rsidR="007174F4">
        <w:rPr>
          <w:rFonts w:eastAsia="Arial Unicode MS"/>
          <w:color w:val="000000" w:themeColor="text1"/>
          <w:lang w:eastAsia="zh-CN"/>
        </w:rPr>
        <w:t>обов’язковими</w:t>
      </w:r>
      <w:r>
        <w:rPr>
          <w:rFonts w:eastAsia="Arial Unicode MS"/>
          <w:color w:val="000000" w:themeColor="text1"/>
          <w:lang w:eastAsia="zh-CN"/>
        </w:rPr>
        <w:t xml:space="preserve"> до виконання Національним банком та </w:t>
      </w:r>
      <w:r w:rsidR="00F90BE2">
        <w:rPr>
          <w:rFonts w:eastAsia="Arial Unicode MS"/>
          <w:color w:val="000000" w:themeColor="text1"/>
          <w:lang w:eastAsia="zh-CN"/>
        </w:rPr>
        <w:t xml:space="preserve">дадуть </w:t>
      </w:r>
      <w:r w:rsidR="002A3228">
        <w:rPr>
          <w:rFonts w:eastAsia="Arial Unicode MS"/>
          <w:color w:val="000000" w:themeColor="text1"/>
          <w:lang w:eastAsia="zh-CN"/>
        </w:rPr>
        <w:t xml:space="preserve">змогу </w:t>
      </w:r>
      <w:r>
        <w:rPr>
          <w:rFonts w:eastAsia="Arial Unicode MS"/>
          <w:color w:val="000000" w:themeColor="text1"/>
          <w:lang w:eastAsia="zh-CN"/>
        </w:rPr>
        <w:t xml:space="preserve">встановити нові, </w:t>
      </w:r>
      <w:r>
        <w:rPr>
          <w:color w:val="000000" w:themeColor="text1"/>
        </w:rPr>
        <w:t>удосконален</w:t>
      </w:r>
      <w:r w:rsidR="007174F4">
        <w:rPr>
          <w:color w:val="000000" w:themeColor="text1"/>
        </w:rPr>
        <w:t>і</w:t>
      </w:r>
      <w:r>
        <w:rPr>
          <w:color w:val="000000" w:themeColor="text1"/>
        </w:rPr>
        <w:t xml:space="preserve"> критері</w:t>
      </w:r>
      <w:r w:rsidR="007174F4">
        <w:rPr>
          <w:color w:val="000000" w:themeColor="text1"/>
        </w:rPr>
        <w:t>ї</w:t>
      </w:r>
      <w:r>
        <w:rPr>
          <w:color w:val="000000" w:themeColor="text1"/>
        </w:rPr>
        <w:t xml:space="preserve">, </w:t>
      </w:r>
      <w:r w:rsidRPr="006C07A6">
        <w:t xml:space="preserve">за якими </w:t>
      </w:r>
      <w:r w:rsidR="002A3228">
        <w:t xml:space="preserve">оцінюватиметься </w:t>
      </w:r>
      <w:r w:rsidRPr="006C07A6">
        <w:t>ступінь ризику від здійснення діяльності учасниками ринку небанківських фінансових послуг</w:t>
      </w:r>
      <w:r>
        <w:t xml:space="preserve"> та </w:t>
      </w:r>
      <w:r w:rsidRPr="006C07A6">
        <w:t>їх суспільн</w:t>
      </w:r>
      <w:r>
        <w:t>ої</w:t>
      </w:r>
      <w:r w:rsidRPr="006C07A6">
        <w:t xml:space="preserve"> важлив</w:t>
      </w:r>
      <w:r>
        <w:t>ості.</w:t>
      </w:r>
    </w:p>
    <w:p w14:paraId="0364A1CF" w14:textId="77777777" w:rsidR="004C0651" w:rsidRPr="00BF6425" w:rsidRDefault="000E52C4" w:rsidP="005B2FD5">
      <w:pPr>
        <w:widowControl w:val="0"/>
        <w:ind w:firstLine="567"/>
        <w:rPr>
          <w:color w:val="000000" w:themeColor="text1"/>
        </w:rPr>
      </w:pPr>
      <w:r>
        <w:rPr>
          <w:color w:val="000000" w:themeColor="text1"/>
        </w:rPr>
        <w:t>Затвердження</w:t>
      </w:r>
      <w:r w:rsidR="004C0651" w:rsidRPr="00BF6425">
        <w:rPr>
          <w:color w:val="000000" w:themeColor="text1"/>
        </w:rPr>
        <w:t xml:space="preserve"> регуляторного </w:t>
      </w:r>
      <w:proofErr w:type="spellStart"/>
      <w:r w:rsidR="004C0651" w:rsidRPr="00BF6425">
        <w:rPr>
          <w:color w:val="000000" w:themeColor="text1"/>
        </w:rPr>
        <w:t>акта</w:t>
      </w:r>
      <w:proofErr w:type="spellEnd"/>
      <w:r w:rsidR="004C0651" w:rsidRPr="00BF6425">
        <w:rPr>
          <w:color w:val="000000" w:themeColor="text1"/>
        </w:rPr>
        <w:t xml:space="preserve"> не потребує додаткових витрат Національного банку, оскільки здійснюється в межах його повноважень. </w:t>
      </w:r>
    </w:p>
    <w:p w14:paraId="46A034B3" w14:textId="77777777" w:rsidR="004C0651" w:rsidRDefault="004C0651" w:rsidP="005B2FD5">
      <w:pPr>
        <w:widowControl w:val="0"/>
        <w:ind w:firstLine="567"/>
      </w:pPr>
      <w:r w:rsidRPr="00BF6425">
        <w:t>Додаткових витрат учасників ринку небанківських фінансових послуг не передбачається.</w:t>
      </w:r>
    </w:p>
    <w:p w14:paraId="0B12A134" w14:textId="72BD92E3" w:rsidR="008159A4" w:rsidRDefault="008159A4" w:rsidP="005B2FD5">
      <w:pPr>
        <w:widowControl w:val="0"/>
        <w:ind w:firstLine="567"/>
      </w:pPr>
      <w:r>
        <w:t xml:space="preserve">У здійсненні державного контролю та нагляду за додержанням вимог </w:t>
      </w:r>
      <w:proofErr w:type="spellStart"/>
      <w:r>
        <w:t>акта</w:t>
      </w:r>
      <w:proofErr w:type="spellEnd"/>
      <w:r>
        <w:t xml:space="preserve"> </w:t>
      </w:r>
      <w:r w:rsidR="002A3228">
        <w:t>потреби немає</w:t>
      </w:r>
      <w:r>
        <w:t>.</w:t>
      </w:r>
    </w:p>
    <w:p w14:paraId="54C69AA9" w14:textId="583862E3" w:rsidR="00F90BE2" w:rsidRDefault="00F90BE2" w:rsidP="005B2FD5">
      <w:pPr>
        <w:widowControl w:val="0"/>
        <w:ind w:firstLine="567"/>
      </w:pPr>
    </w:p>
    <w:p w14:paraId="06368E7D" w14:textId="77777777" w:rsidR="00F90BE2" w:rsidRPr="00BF6425" w:rsidRDefault="00F90BE2" w:rsidP="005B2FD5">
      <w:pPr>
        <w:widowControl w:val="0"/>
        <w:ind w:firstLine="567"/>
        <w:rPr>
          <w:color w:val="000000" w:themeColor="text1"/>
        </w:rPr>
      </w:pPr>
    </w:p>
    <w:p w14:paraId="0FF45D59" w14:textId="77777777" w:rsidR="004C0651" w:rsidRPr="00BF6425" w:rsidRDefault="004C0651" w:rsidP="005B2FD5">
      <w:pPr>
        <w:widowControl w:val="0"/>
        <w:ind w:firstLine="567"/>
        <w:rPr>
          <w:b/>
          <w:color w:val="000000" w:themeColor="text1"/>
          <w:lang w:eastAsia="zh-CN"/>
        </w:rPr>
      </w:pPr>
      <w:r w:rsidRPr="00BF6425">
        <w:rPr>
          <w:b/>
          <w:color w:val="000000" w:themeColor="text1"/>
          <w:lang w:eastAsia="zh-CN"/>
        </w:rPr>
        <w:lastRenderedPageBreak/>
        <w:t xml:space="preserve">VI. Визначення очікуваних результатів прийняття </w:t>
      </w:r>
      <w:proofErr w:type="spellStart"/>
      <w:r w:rsidRPr="00BF6425">
        <w:rPr>
          <w:b/>
          <w:color w:val="000000" w:themeColor="text1"/>
          <w:lang w:eastAsia="zh-CN"/>
        </w:rPr>
        <w:t>акта</w:t>
      </w:r>
      <w:proofErr w:type="spellEnd"/>
    </w:p>
    <w:p w14:paraId="2CADCC24" w14:textId="6DB90A3E" w:rsidR="009D765B" w:rsidRDefault="004C0651" w:rsidP="005B2FD5">
      <w:pPr>
        <w:ind w:firstLine="567"/>
        <w:rPr>
          <w:color w:val="000000" w:themeColor="text1"/>
        </w:rPr>
      </w:pPr>
      <w:r w:rsidRPr="00BF6425">
        <w:rPr>
          <w:color w:val="000000" w:themeColor="text1"/>
        </w:rPr>
        <w:t xml:space="preserve">Основними позитивними </w:t>
      </w:r>
      <w:r w:rsidR="002A3228">
        <w:rPr>
          <w:color w:val="000000" w:themeColor="text1"/>
        </w:rPr>
        <w:t>результатами</w:t>
      </w:r>
      <w:r w:rsidR="002A3228" w:rsidRPr="00BF6425">
        <w:rPr>
          <w:color w:val="000000" w:themeColor="text1"/>
        </w:rPr>
        <w:t xml:space="preserve"> </w:t>
      </w:r>
      <w:r w:rsidRPr="00BF6425">
        <w:rPr>
          <w:color w:val="000000" w:themeColor="text1"/>
        </w:rPr>
        <w:t xml:space="preserve">дії регуляторного </w:t>
      </w:r>
      <w:proofErr w:type="spellStart"/>
      <w:r w:rsidRPr="00BF6425">
        <w:rPr>
          <w:color w:val="000000" w:themeColor="text1"/>
        </w:rPr>
        <w:t>акта</w:t>
      </w:r>
      <w:proofErr w:type="spellEnd"/>
      <w:r w:rsidRPr="00BF6425">
        <w:rPr>
          <w:color w:val="000000" w:themeColor="text1"/>
        </w:rPr>
        <w:t xml:space="preserve"> є</w:t>
      </w:r>
      <w:r w:rsidR="000E52C4">
        <w:rPr>
          <w:color w:val="000000" w:themeColor="text1"/>
        </w:rPr>
        <w:t xml:space="preserve"> </w:t>
      </w:r>
      <w:r w:rsidR="00DA4DA5">
        <w:rPr>
          <w:color w:val="000000" w:themeColor="text1"/>
        </w:rPr>
        <w:t>уникнення дублювання нормативно-правових актів Національного банку, які регулюють аналогічні за змістом питання.</w:t>
      </w:r>
    </w:p>
    <w:p w14:paraId="227D4C62" w14:textId="77777777" w:rsidR="004C0651" w:rsidRDefault="004C0651" w:rsidP="005B2FD5">
      <w:pPr>
        <w:ind w:firstLine="567"/>
        <w:rPr>
          <w:color w:val="000000" w:themeColor="text1"/>
        </w:rPr>
      </w:pPr>
      <w:r w:rsidRPr="00BF6425">
        <w:rPr>
          <w:color w:val="000000" w:themeColor="text1"/>
        </w:rPr>
        <w:t xml:space="preserve">Ураховуючи специфіку сфери правового регулювання </w:t>
      </w:r>
      <w:proofErr w:type="spellStart"/>
      <w:r w:rsidRPr="00BF6425">
        <w:rPr>
          <w:color w:val="000000" w:themeColor="text1"/>
        </w:rPr>
        <w:t>проєкту</w:t>
      </w:r>
      <w:proofErr w:type="spellEnd"/>
      <w:r w:rsidRPr="00BF6425">
        <w:rPr>
          <w:color w:val="000000" w:themeColor="text1"/>
        </w:rPr>
        <w:t xml:space="preserve"> постанови, не вбачається за можливе обчислення кількісних розмірів позитивних та можливих негативних наслідків його прийняття. </w:t>
      </w:r>
    </w:p>
    <w:p w14:paraId="3BE81422" w14:textId="77777777" w:rsidR="004C0651" w:rsidRPr="00BF6425" w:rsidRDefault="004C0651" w:rsidP="005B2FD5">
      <w:pPr>
        <w:ind w:firstLine="567"/>
        <w:rPr>
          <w:color w:val="000000" w:themeColor="text1"/>
        </w:rPr>
      </w:pPr>
    </w:p>
    <w:p w14:paraId="51592F99" w14:textId="77777777" w:rsidR="00062547" w:rsidRDefault="004C0651" w:rsidP="005B2FD5">
      <w:pPr>
        <w:ind w:firstLine="567"/>
        <w:rPr>
          <w:b/>
          <w:color w:val="000000" w:themeColor="text1"/>
          <w:lang w:eastAsia="zh-CN"/>
        </w:rPr>
      </w:pPr>
      <w:r w:rsidRPr="00BF6425">
        <w:rPr>
          <w:b/>
          <w:color w:val="000000" w:themeColor="text1"/>
          <w:lang w:eastAsia="zh-CN"/>
        </w:rPr>
        <w:t xml:space="preserve">VII. </w:t>
      </w:r>
      <w:r w:rsidR="00062547">
        <w:rPr>
          <w:b/>
          <w:color w:val="000000" w:themeColor="text1"/>
          <w:lang w:eastAsia="zh-CN"/>
        </w:rPr>
        <w:t xml:space="preserve">Обґрунтування запропонованого строку дії </w:t>
      </w:r>
      <w:proofErr w:type="spellStart"/>
      <w:r w:rsidR="00062547">
        <w:rPr>
          <w:b/>
          <w:color w:val="000000" w:themeColor="text1"/>
          <w:lang w:eastAsia="zh-CN"/>
        </w:rPr>
        <w:t>акта</w:t>
      </w:r>
      <w:proofErr w:type="spellEnd"/>
    </w:p>
    <w:p w14:paraId="6583D2DA" w14:textId="77777777" w:rsidR="00062547" w:rsidRPr="00062547" w:rsidRDefault="00062547" w:rsidP="005B2FD5">
      <w:pPr>
        <w:ind w:firstLine="567"/>
        <w:rPr>
          <w:color w:val="000000" w:themeColor="text1"/>
          <w:lang w:eastAsia="zh-CN"/>
        </w:rPr>
      </w:pPr>
      <w:r w:rsidRPr="00062547">
        <w:rPr>
          <w:color w:val="000000" w:themeColor="text1"/>
          <w:lang w:eastAsia="zh-CN"/>
        </w:rPr>
        <w:t xml:space="preserve">Ураховуючи </w:t>
      </w:r>
      <w:r>
        <w:rPr>
          <w:color w:val="000000" w:themeColor="text1"/>
          <w:lang w:eastAsia="zh-CN"/>
        </w:rPr>
        <w:t xml:space="preserve">специфіку запропонованого </w:t>
      </w:r>
      <w:proofErr w:type="spellStart"/>
      <w:r>
        <w:rPr>
          <w:color w:val="000000" w:themeColor="text1"/>
          <w:lang w:eastAsia="zh-CN"/>
        </w:rPr>
        <w:t>проєкту</w:t>
      </w:r>
      <w:proofErr w:type="spellEnd"/>
      <w:r>
        <w:rPr>
          <w:color w:val="000000" w:themeColor="text1"/>
          <w:lang w:eastAsia="zh-CN"/>
        </w:rPr>
        <w:t xml:space="preserve"> постанови, </w:t>
      </w:r>
      <w:r w:rsidR="00052E28">
        <w:rPr>
          <w:color w:val="000000" w:themeColor="text1"/>
          <w:lang w:eastAsia="zh-CN"/>
        </w:rPr>
        <w:t>він не містить кінцевого строку дії</w:t>
      </w:r>
      <w:r w:rsidR="00A75496">
        <w:rPr>
          <w:color w:val="000000" w:themeColor="text1"/>
          <w:lang w:eastAsia="zh-CN"/>
        </w:rPr>
        <w:t>.</w:t>
      </w:r>
      <w:r w:rsidR="00052E28">
        <w:rPr>
          <w:color w:val="000000" w:themeColor="text1"/>
          <w:lang w:eastAsia="zh-CN"/>
        </w:rPr>
        <w:t xml:space="preserve"> </w:t>
      </w:r>
    </w:p>
    <w:p w14:paraId="0D3CDFF9" w14:textId="77777777" w:rsidR="00062547" w:rsidRPr="00062547" w:rsidRDefault="00062547" w:rsidP="005B2FD5">
      <w:pPr>
        <w:ind w:firstLine="567"/>
        <w:rPr>
          <w:color w:val="000000" w:themeColor="text1"/>
          <w:lang w:eastAsia="zh-CN"/>
        </w:rPr>
      </w:pPr>
    </w:p>
    <w:p w14:paraId="736900B6" w14:textId="77777777" w:rsidR="004C0651" w:rsidRPr="00BF6425" w:rsidRDefault="00062547" w:rsidP="005B2FD5">
      <w:pPr>
        <w:ind w:firstLine="567"/>
        <w:rPr>
          <w:b/>
          <w:color w:val="000000" w:themeColor="text1"/>
          <w:lang w:eastAsia="zh-CN"/>
        </w:rPr>
      </w:pPr>
      <w:r>
        <w:rPr>
          <w:b/>
          <w:color w:val="000000" w:themeColor="text1"/>
          <w:lang w:val="en-US" w:eastAsia="zh-CN"/>
        </w:rPr>
        <w:t>VIII</w:t>
      </w:r>
      <w:r w:rsidRPr="00062547">
        <w:rPr>
          <w:b/>
          <w:color w:val="000000" w:themeColor="text1"/>
          <w:lang w:val="ru-RU" w:eastAsia="zh-CN"/>
        </w:rPr>
        <w:t xml:space="preserve">. </w:t>
      </w:r>
      <w:r w:rsidR="004C0651" w:rsidRPr="00BF6425">
        <w:rPr>
          <w:b/>
          <w:color w:val="000000" w:themeColor="text1"/>
          <w:lang w:eastAsia="zh-CN"/>
        </w:rPr>
        <w:t xml:space="preserve">Визначення показників результативності </w:t>
      </w:r>
      <w:proofErr w:type="spellStart"/>
      <w:r w:rsidR="004C0651" w:rsidRPr="00BF6425">
        <w:rPr>
          <w:b/>
          <w:color w:val="000000" w:themeColor="text1"/>
          <w:lang w:eastAsia="zh-CN"/>
        </w:rPr>
        <w:t>акта</w:t>
      </w:r>
      <w:proofErr w:type="spellEnd"/>
    </w:p>
    <w:p w14:paraId="1E4D3B3C" w14:textId="6ECAEF6C" w:rsidR="004C0651" w:rsidRPr="00BF6425" w:rsidRDefault="000E52C4" w:rsidP="005B2FD5">
      <w:pPr>
        <w:ind w:firstLine="567"/>
        <w:rPr>
          <w:color w:val="000000" w:themeColor="text1"/>
          <w:lang w:eastAsia="ru-RU"/>
        </w:rPr>
      </w:pPr>
      <w:r>
        <w:rPr>
          <w:color w:val="000000" w:themeColor="text1"/>
        </w:rPr>
        <w:t>У</w:t>
      </w:r>
      <w:r w:rsidR="004C0651" w:rsidRPr="00BF6425">
        <w:rPr>
          <w:color w:val="000000" w:themeColor="text1"/>
        </w:rPr>
        <w:t xml:space="preserve">раховуючи специфіку запропонованого </w:t>
      </w:r>
      <w:proofErr w:type="spellStart"/>
      <w:r w:rsidR="004C0651" w:rsidRPr="00BF6425">
        <w:rPr>
          <w:color w:val="000000" w:themeColor="text1"/>
        </w:rPr>
        <w:t>проєкту</w:t>
      </w:r>
      <w:proofErr w:type="spellEnd"/>
      <w:r w:rsidR="004C0651" w:rsidRPr="00BF6425">
        <w:rPr>
          <w:color w:val="000000" w:themeColor="text1"/>
        </w:rPr>
        <w:t xml:space="preserve"> постанови</w:t>
      </w:r>
      <w:r w:rsidR="009639E2" w:rsidRPr="00BF6425">
        <w:rPr>
          <w:color w:val="000000" w:themeColor="text1"/>
        </w:rPr>
        <w:t xml:space="preserve"> та предмет </w:t>
      </w:r>
      <w:r w:rsidR="00F12EDF">
        <w:rPr>
          <w:color w:val="000000" w:themeColor="text1"/>
        </w:rPr>
        <w:t xml:space="preserve">її </w:t>
      </w:r>
      <w:r w:rsidR="009639E2" w:rsidRPr="00BF6425">
        <w:rPr>
          <w:color w:val="000000" w:themeColor="text1"/>
        </w:rPr>
        <w:t>регулювання</w:t>
      </w:r>
      <w:r w:rsidR="004C0651" w:rsidRPr="00BF6425">
        <w:rPr>
          <w:color w:val="000000" w:themeColor="text1"/>
        </w:rPr>
        <w:t>, надати кількісну форму</w:t>
      </w:r>
      <w:r w:rsidR="009639E2" w:rsidRPr="00BF6425">
        <w:rPr>
          <w:color w:val="000000" w:themeColor="text1"/>
        </w:rPr>
        <w:t xml:space="preserve"> та чіткий перелік</w:t>
      </w:r>
      <w:r w:rsidR="004C0651" w:rsidRPr="00BF6425">
        <w:rPr>
          <w:color w:val="000000" w:themeColor="text1"/>
        </w:rPr>
        <w:t xml:space="preserve"> </w:t>
      </w:r>
      <w:r w:rsidR="002A3228">
        <w:rPr>
          <w:color w:val="000000" w:themeColor="text1"/>
        </w:rPr>
        <w:t>у</w:t>
      </w:r>
      <w:r w:rsidR="002A3228" w:rsidRPr="00BF6425">
        <w:rPr>
          <w:color w:val="000000" w:themeColor="text1"/>
        </w:rPr>
        <w:t xml:space="preserve">сіх </w:t>
      </w:r>
      <w:r w:rsidR="004C0651" w:rsidRPr="00BF6425">
        <w:rPr>
          <w:color w:val="000000" w:themeColor="text1"/>
        </w:rPr>
        <w:t xml:space="preserve">прогнозних значень показників результативності регуляторного </w:t>
      </w:r>
      <w:proofErr w:type="spellStart"/>
      <w:r w:rsidR="004C0651" w:rsidRPr="00BF6425">
        <w:rPr>
          <w:color w:val="000000" w:themeColor="text1"/>
        </w:rPr>
        <w:t>акта</w:t>
      </w:r>
      <w:proofErr w:type="spellEnd"/>
      <w:r w:rsidR="004C0651" w:rsidRPr="00BF6425">
        <w:rPr>
          <w:color w:val="000000" w:themeColor="text1"/>
        </w:rPr>
        <w:t xml:space="preserve"> не вбачається можлив</w:t>
      </w:r>
      <w:r w:rsidR="00E94431" w:rsidRPr="00BF6425">
        <w:rPr>
          <w:color w:val="000000" w:themeColor="text1"/>
        </w:rPr>
        <w:t>им</w:t>
      </w:r>
      <w:r w:rsidR="004C0651" w:rsidRPr="00BF6425">
        <w:rPr>
          <w:color w:val="000000" w:themeColor="text1"/>
        </w:rPr>
        <w:t>.</w:t>
      </w:r>
    </w:p>
    <w:p w14:paraId="13E61CAE" w14:textId="77777777" w:rsidR="004C0651" w:rsidRPr="00BF6425" w:rsidRDefault="004C0651" w:rsidP="005B2FD5">
      <w:pPr>
        <w:ind w:firstLine="567"/>
        <w:rPr>
          <w:color w:val="000000" w:themeColor="text1"/>
          <w:lang w:eastAsia="ru-RU"/>
        </w:rPr>
      </w:pPr>
    </w:p>
    <w:p w14:paraId="7DE6F54E" w14:textId="77777777" w:rsidR="004C0651" w:rsidRDefault="00887888" w:rsidP="005B2FD5">
      <w:pPr>
        <w:ind w:firstLine="567"/>
        <w:rPr>
          <w:b/>
          <w:color w:val="000000" w:themeColor="text1"/>
          <w:lang w:eastAsia="zh-CN"/>
        </w:rPr>
      </w:pPr>
      <w:bookmarkStart w:id="2" w:name="o63"/>
      <w:bookmarkEnd w:id="2"/>
      <w:r>
        <w:rPr>
          <w:b/>
          <w:color w:val="000000" w:themeColor="text1"/>
          <w:lang w:val="en-US" w:eastAsia="zh-CN"/>
        </w:rPr>
        <w:t>IX</w:t>
      </w:r>
      <w:r w:rsidR="004C0651" w:rsidRPr="00BF6425">
        <w:rPr>
          <w:b/>
          <w:color w:val="000000" w:themeColor="text1"/>
          <w:lang w:eastAsia="zh-CN"/>
        </w:rPr>
        <w:t xml:space="preserve">. Визначення заходів, з допомогою яких буде здійснюватися відстеження результативності </w:t>
      </w:r>
      <w:proofErr w:type="spellStart"/>
      <w:r w:rsidR="004C0651" w:rsidRPr="00BF6425">
        <w:rPr>
          <w:b/>
          <w:color w:val="000000" w:themeColor="text1"/>
          <w:lang w:eastAsia="zh-CN"/>
        </w:rPr>
        <w:t>акта</w:t>
      </w:r>
      <w:proofErr w:type="spellEnd"/>
      <w:r w:rsidR="004C0651" w:rsidRPr="00BF6425">
        <w:rPr>
          <w:b/>
          <w:color w:val="000000" w:themeColor="text1"/>
          <w:lang w:eastAsia="zh-CN"/>
        </w:rPr>
        <w:t xml:space="preserve"> </w:t>
      </w:r>
    </w:p>
    <w:p w14:paraId="205DB716" w14:textId="77777777" w:rsidR="005026C5" w:rsidRPr="00BF6425" w:rsidRDefault="002A0176" w:rsidP="005B2FD5">
      <w:pPr>
        <w:ind w:firstLine="567"/>
        <w:rPr>
          <w:b/>
          <w:color w:val="000000" w:themeColor="text1"/>
          <w:lang w:eastAsia="zh-CN"/>
        </w:rPr>
      </w:pPr>
      <w:r>
        <w:t>У</w:t>
      </w:r>
      <w:r w:rsidR="00006FD5" w:rsidRPr="00BF6425">
        <w:rPr>
          <w:color w:val="000000" w:themeColor="text1"/>
        </w:rPr>
        <w:t xml:space="preserve">раховуючи специфіку запропонованого </w:t>
      </w:r>
      <w:proofErr w:type="spellStart"/>
      <w:r w:rsidR="00006FD5" w:rsidRPr="00BF6425">
        <w:rPr>
          <w:color w:val="000000" w:themeColor="text1"/>
        </w:rPr>
        <w:t>проєкту</w:t>
      </w:r>
      <w:proofErr w:type="spellEnd"/>
      <w:r w:rsidR="00006FD5" w:rsidRPr="00BF6425">
        <w:rPr>
          <w:color w:val="000000" w:themeColor="text1"/>
        </w:rPr>
        <w:t xml:space="preserve"> постанови та предмет</w:t>
      </w:r>
      <w:r w:rsidR="005026C5">
        <w:t xml:space="preserve"> її регулювання</w:t>
      </w:r>
      <w:r w:rsidR="005A4F92">
        <w:t>,</w:t>
      </w:r>
      <w:r w:rsidR="005026C5">
        <w:t xml:space="preserve"> </w:t>
      </w:r>
      <w:r>
        <w:t xml:space="preserve">у відстеженні </w:t>
      </w:r>
      <w:proofErr w:type="spellStart"/>
      <w:r w:rsidR="00F81688">
        <w:t>проєкту</w:t>
      </w:r>
      <w:proofErr w:type="spellEnd"/>
      <w:r w:rsidR="00F81688">
        <w:t xml:space="preserve"> постанови</w:t>
      </w:r>
      <w:r>
        <w:t xml:space="preserve"> </w:t>
      </w:r>
      <w:r w:rsidR="005026C5">
        <w:t>необхідності не буде.</w:t>
      </w:r>
    </w:p>
    <w:p w14:paraId="4645834F" w14:textId="17318F7F" w:rsidR="004C0651" w:rsidRPr="00BF6425" w:rsidRDefault="004C0651" w:rsidP="005B2FD5">
      <w:pPr>
        <w:ind w:firstLine="567"/>
        <w:rPr>
          <w:color w:val="000000" w:themeColor="text1"/>
        </w:rPr>
      </w:pPr>
      <w:bookmarkStart w:id="3" w:name="_Hlk77929117"/>
      <w:r w:rsidRPr="00BF6425">
        <w:rPr>
          <w:color w:val="000000" w:themeColor="text1"/>
          <w:lang w:eastAsia="zh-CN"/>
        </w:rPr>
        <w:t xml:space="preserve">Інформування </w:t>
      </w:r>
      <w:r w:rsidRPr="00BF6425">
        <w:rPr>
          <w:color w:val="000000" w:themeColor="text1"/>
          <w:lang w:eastAsia="ru-RU"/>
        </w:rPr>
        <w:t xml:space="preserve">учасників ринку небанківських фінансових </w:t>
      </w:r>
      <w:r w:rsidR="002A3228">
        <w:rPr>
          <w:color w:val="000000" w:themeColor="text1"/>
          <w:lang w:eastAsia="ru-RU"/>
        </w:rPr>
        <w:t xml:space="preserve">послуг </w:t>
      </w:r>
      <w:r w:rsidRPr="00BF6425">
        <w:rPr>
          <w:color w:val="000000" w:themeColor="text1"/>
          <w:lang w:eastAsia="zh-CN"/>
        </w:rPr>
        <w:t xml:space="preserve">щодо основних положень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здійснюватиметься шляхом його оприлюднення на сторінці офіційного Інтернет-представництва Національного банку.</w:t>
      </w:r>
    </w:p>
    <w:bookmarkEnd w:id="3"/>
    <w:p w14:paraId="73CB5001" w14:textId="77777777" w:rsidR="004C0651" w:rsidRPr="00BF6425" w:rsidRDefault="004C0651" w:rsidP="004C0651">
      <w:pPr>
        <w:spacing w:before="240" w:after="240"/>
        <w:ind w:firstLine="709"/>
        <w:rPr>
          <w:color w:val="000000" w:themeColor="text1"/>
        </w:rPr>
      </w:pPr>
    </w:p>
    <w:tbl>
      <w:tblPr>
        <w:tblStyle w:val="a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4C0651" w:rsidRPr="001C7A69" w14:paraId="4C79B814" w14:textId="77777777" w:rsidTr="00B0743B">
        <w:trPr>
          <w:trHeight w:val="68"/>
        </w:trPr>
        <w:tc>
          <w:tcPr>
            <w:tcW w:w="5529" w:type="dxa"/>
            <w:vAlign w:val="bottom"/>
          </w:tcPr>
          <w:p w14:paraId="59C91C31" w14:textId="77777777" w:rsidR="004C0651" w:rsidRPr="00BF6425" w:rsidRDefault="004C0651" w:rsidP="00B0743B">
            <w:pPr>
              <w:tabs>
                <w:tab w:val="left" w:pos="7020"/>
                <w:tab w:val="left" w:pos="7200"/>
              </w:tabs>
              <w:autoSpaceDE w:val="0"/>
              <w:autoSpaceDN w:val="0"/>
              <w:ind w:left="-111"/>
              <w:jc w:val="left"/>
              <w:rPr>
                <w:color w:val="000000" w:themeColor="text1"/>
              </w:rPr>
            </w:pPr>
            <w:r w:rsidRPr="00BF6425">
              <w:rPr>
                <w:rFonts w:eastAsia="SimSun"/>
                <w:color w:val="000000" w:themeColor="text1"/>
              </w:rPr>
              <w:t>Голова Національного банку України</w:t>
            </w:r>
          </w:p>
        </w:tc>
        <w:tc>
          <w:tcPr>
            <w:tcW w:w="4325" w:type="dxa"/>
            <w:vAlign w:val="bottom"/>
          </w:tcPr>
          <w:p w14:paraId="134B57F3" w14:textId="77777777" w:rsidR="004C0651" w:rsidRPr="001C7A69" w:rsidRDefault="004C0651" w:rsidP="004C0651">
            <w:pPr>
              <w:tabs>
                <w:tab w:val="left" w:pos="7020"/>
                <w:tab w:val="left" w:pos="7200"/>
              </w:tabs>
              <w:autoSpaceDE w:val="0"/>
              <w:autoSpaceDN w:val="0"/>
              <w:ind w:left="30"/>
              <w:jc w:val="right"/>
              <w:rPr>
                <w:color w:val="000000" w:themeColor="text1"/>
              </w:rPr>
            </w:pPr>
            <w:r w:rsidRPr="00BF6425">
              <w:rPr>
                <w:color w:val="000000" w:themeColor="text1"/>
              </w:rPr>
              <w:t>Андрій ПИШНИЙ</w:t>
            </w:r>
          </w:p>
        </w:tc>
      </w:tr>
    </w:tbl>
    <w:p w14:paraId="7497B6F2" w14:textId="77777777" w:rsidR="003B4E8D" w:rsidRDefault="003B4E8D"/>
    <w:sectPr w:rsidR="003B4E8D" w:rsidSect="005F5F5F">
      <w:headerReference w:type="default" r:id="rId8"/>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A1C6D" w14:textId="77777777" w:rsidR="00AC07A5" w:rsidRDefault="00AC07A5">
      <w:r>
        <w:separator/>
      </w:r>
    </w:p>
  </w:endnote>
  <w:endnote w:type="continuationSeparator" w:id="0">
    <w:p w14:paraId="0AF06E47" w14:textId="77777777" w:rsidR="00AC07A5" w:rsidRDefault="00AC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A09A0" w14:textId="77777777" w:rsidR="00AC07A5" w:rsidRDefault="00AC07A5">
      <w:r>
        <w:separator/>
      </w:r>
    </w:p>
  </w:footnote>
  <w:footnote w:type="continuationSeparator" w:id="0">
    <w:p w14:paraId="6A887CAE" w14:textId="77777777" w:rsidR="00AC07A5" w:rsidRDefault="00AC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1F3CD337" w14:textId="7E940B7E" w:rsidR="00A2062C" w:rsidRDefault="00BC5264">
        <w:pPr>
          <w:pStyle w:val="a3"/>
          <w:jc w:val="center"/>
        </w:pPr>
        <w:r>
          <w:fldChar w:fldCharType="begin"/>
        </w:r>
        <w:r>
          <w:instrText xml:space="preserve"> PAGE   \* MERGEFORMAT </w:instrText>
        </w:r>
        <w:r>
          <w:fldChar w:fldCharType="separate"/>
        </w:r>
        <w:r w:rsidR="002679DE">
          <w:rPr>
            <w:noProof/>
          </w:rPr>
          <w:t>3</w:t>
        </w:r>
        <w:r>
          <w:rPr>
            <w:noProof/>
          </w:rPr>
          <w:fldChar w:fldCharType="end"/>
        </w:r>
      </w:p>
    </w:sdtContent>
  </w:sdt>
  <w:p w14:paraId="7B7FABB6" w14:textId="77777777" w:rsidR="00A2062C" w:rsidRDefault="002679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FF0"/>
    <w:multiLevelType w:val="hybridMultilevel"/>
    <w:tmpl w:val="92E4BA3E"/>
    <w:lvl w:ilvl="0" w:tplc="0E4E4774">
      <w:start w:val="1"/>
      <w:numFmt w:val="decimal"/>
      <w:lvlText w:val="%1)"/>
      <w:lvlJc w:val="left"/>
      <w:pPr>
        <w:ind w:left="1046" w:hanging="360"/>
      </w:pPr>
      <w:rPr>
        <w:rFonts w:hint="default"/>
      </w:rPr>
    </w:lvl>
    <w:lvl w:ilvl="1" w:tplc="04220019" w:tentative="1">
      <w:start w:val="1"/>
      <w:numFmt w:val="lowerLetter"/>
      <w:lvlText w:val="%2."/>
      <w:lvlJc w:val="left"/>
      <w:pPr>
        <w:ind w:left="1766" w:hanging="360"/>
      </w:pPr>
    </w:lvl>
    <w:lvl w:ilvl="2" w:tplc="0422001B" w:tentative="1">
      <w:start w:val="1"/>
      <w:numFmt w:val="lowerRoman"/>
      <w:lvlText w:val="%3."/>
      <w:lvlJc w:val="right"/>
      <w:pPr>
        <w:ind w:left="2486" w:hanging="180"/>
      </w:pPr>
    </w:lvl>
    <w:lvl w:ilvl="3" w:tplc="0422000F" w:tentative="1">
      <w:start w:val="1"/>
      <w:numFmt w:val="decimal"/>
      <w:lvlText w:val="%4."/>
      <w:lvlJc w:val="left"/>
      <w:pPr>
        <w:ind w:left="3206" w:hanging="360"/>
      </w:pPr>
    </w:lvl>
    <w:lvl w:ilvl="4" w:tplc="04220019" w:tentative="1">
      <w:start w:val="1"/>
      <w:numFmt w:val="lowerLetter"/>
      <w:lvlText w:val="%5."/>
      <w:lvlJc w:val="left"/>
      <w:pPr>
        <w:ind w:left="3926" w:hanging="360"/>
      </w:pPr>
    </w:lvl>
    <w:lvl w:ilvl="5" w:tplc="0422001B" w:tentative="1">
      <w:start w:val="1"/>
      <w:numFmt w:val="lowerRoman"/>
      <w:lvlText w:val="%6."/>
      <w:lvlJc w:val="right"/>
      <w:pPr>
        <w:ind w:left="4646" w:hanging="180"/>
      </w:pPr>
    </w:lvl>
    <w:lvl w:ilvl="6" w:tplc="0422000F" w:tentative="1">
      <w:start w:val="1"/>
      <w:numFmt w:val="decimal"/>
      <w:lvlText w:val="%7."/>
      <w:lvlJc w:val="left"/>
      <w:pPr>
        <w:ind w:left="5366" w:hanging="360"/>
      </w:pPr>
    </w:lvl>
    <w:lvl w:ilvl="7" w:tplc="04220019" w:tentative="1">
      <w:start w:val="1"/>
      <w:numFmt w:val="lowerLetter"/>
      <w:lvlText w:val="%8."/>
      <w:lvlJc w:val="left"/>
      <w:pPr>
        <w:ind w:left="6086" w:hanging="360"/>
      </w:pPr>
    </w:lvl>
    <w:lvl w:ilvl="8" w:tplc="0422001B" w:tentative="1">
      <w:start w:val="1"/>
      <w:numFmt w:val="lowerRoman"/>
      <w:lvlText w:val="%9."/>
      <w:lvlJc w:val="right"/>
      <w:pPr>
        <w:ind w:left="6806" w:hanging="180"/>
      </w:pPr>
    </w:lvl>
  </w:abstractNum>
  <w:abstractNum w:abstractNumId="1" w15:restartNumberingAfterBreak="0">
    <w:nsid w:val="3E24263B"/>
    <w:multiLevelType w:val="hybridMultilevel"/>
    <w:tmpl w:val="D1A09F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3C516C"/>
    <w:multiLevelType w:val="hybridMultilevel"/>
    <w:tmpl w:val="E75C3C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6705CD"/>
    <w:multiLevelType w:val="hybridMultilevel"/>
    <w:tmpl w:val="A6F467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80E061E"/>
    <w:multiLevelType w:val="hybridMultilevel"/>
    <w:tmpl w:val="022E18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51"/>
    <w:rsid w:val="00006FD5"/>
    <w:rsid w:val="0002694D"/>
    <w:rsid w:val="00040941"/>
    <w:rsid w:val="00047DBB"/>
    <w:rsid w:val="00052E28"/>
    <w:rsid w:val="00053980"/>
    <w:rsid w:val="00062547"/>
    <w:rsid w:val="00075253"/>
    <w:rsid w:val="000945C4"/>
    <w:rsid w:val="000D635F"/>
    <w:rsid w:val="000E52C4"/>
    <w:rsid w:val="0014310D"/>
    <w:rsid w:val="001659BD"/>
    <w:rsid w:val="00176985"/>
    <w:rsid w:val="001A2C4F"/>
    <w:rsid w:val="001E03F1"/>
    <w:rsid w:val="0020048F"/>
    <w:rsid w:val="00227248"/>
    <w:rsid w:val="002508F9"/>
    <w:rsid w:val="002679DE"/>
    <w:rsid w:val="00271FFD"/>
    <w:rsid w:val="00295D0A"/>
    <w:rsid w:val="002A0176"/>
    <w:rsid w:val="002A1E7A"/>
    <w:rsid w:val="002A2047"/>
    <w:rsid w:val="002A3228"/>
    <w:rsid w:val="002C05AB"/>
    <w:rsid w:val="002E2FF7"/>
    <w:rsid w:val="002F0F9D"/>
    <w:rsid w:val="002F6AF6"/>
    <w:rsid w:val="00344BEA"/>
    <w:rsid w:val="00357D48"/>
    <w:rsid w:val="00363EF9"/>
    <w:rsid w:val="003A537F"/>
    <w:rsid w:val="003A67DF"/>
    <w:rsid w:val="003B4E8D"/>
    <w:rsid w:val="003F0B5F"/>
    <w:rsid w:val="003F345B"/>
    <w:rsid w:val="003F54B8"/>
    <w:rsid w:val="003F5B0E"/>
    <w:rsid w:val="00404C3F"/>
    <w:rsid w:val="00436EF5"/>
    <w:rsid w:val="00437F10"/>
    <w:rsid w:val="00454C22"/>
    <w:rsid w:val="00455F98"/>
    <w:rsid w:val="004566E9"/>
    <w:rsid w:val="004773A1"/>
    <w:rsid w:val="004A1253"/>
    <w:rsid w:val="004A397F"/>
    <w:rsid w:val="004C0651"/>
    <w:rsid w:val="004F41DA"/>
    <w:rsid w:val="005026C5"/>
    <w:rsid w:val="005262A5"/>
    <w:rsid w:val="00554AB0"/>
    <w:rsid w:val="005A4F92"/>
    <w:rsid w:val="005B2FD5"/>
    <w:rsid w:val="005B4233"/>
    <w:rsid w:val="0062772C"/>
    <w:rsid w:val="0065248E"/>
    <w:rsid w:val="00673D0E"/>
    <w:rsid w:val="00673FE0"/>
    <w:rsid w:val="00680356"/>
    <w:rsid w:val="006B1C0A"/>
    <w:rsid w:val="00703B65"/>
    <w:rsid w:val="007174F4"/>
    <w:rsid w:val="007416C6"/>
    <w:rsid w:val="00763247"/>
    <w:rsid w:val="0079001E"/>
    <w:rsid w:val="00797093"/>
    <w:rsid w:val="00797CE8"/>
    <w:rsid w:val="007B5CCC"/>
    <w:rsid w:val="007E68D2"/>
    <w:rsid w:val="007F15FC"/>
    <w:rsid w:val="008000B2"/>
    <w:rsid w:val="008159A4"/>
    <w:rsid w:val="00840A4E"/>
    <w:rsid w:val="00867669"/>
    <w:rsid w:val="00887888"/>
    <w:rsid w:val="008A5C2A"/>
    <w:rsid w:val="008C038A"/>
    <w:rsid w:val="008C5FAB"/>
    <w:rsid w:val="008C6742"/>
    <w:rsid w:val="008D1074"/>
    <w:rsid w:val="00910B4B"/>
    <w:rsid w:val="00913DE8"/>
    <w:rsid w:val="0095773C"/>
    <w:rsid w:val="009615DE"/>
    <w:rsid w:val="009639E2"/>
    <w:rsid w:val="0097122E"/>
    <w:rsid w:val="00986500"/>
    <w:rsid w:val="009C134B"/>
    <w:rsid w:val="009C592D"/>
    <w:rsid w:val="009D2BB1"/>
    <w:rsid w:val="009D765B"/>
    <w:rsid w:val="00A25863"/>
    <w:rsid w:val="00A56B7C"/>
    <w:rsid w:val="00A703E4"/>
    <w:rsid w:val="00A75496"/>
    <w:rsid w:val="00A879F7"/>
    <w:rsid w:val="00AA3DFB"/>
    <w:rsid w:val="00AA4A9A"/>
    <w:rsid w:val="00AC07A5"/>
    <w:rsid w:val="00B17343"/>
    <w:rsid w:val="00B323CF"/>
    <w:rsid w:val="00B50B0F"/>
    <w:rsid w:val="00B64891"/>
    <w:rsid w:val="00B87A2F"/>
    <w:rsid w:val="00BB3C65"/>
    <w:rsid w:val="00BB4358"/>
    <w:rsid w:val="00BC5264"/>
    <w:rsid w:val="00BD295A"/>
    <w:rsid w:val="00BF2391"/>
    <w:rsid w:val="00BF329F"/>
    <w:rsid w:val="00BF6425"/>
    <w:rsid w:val="00C06640"/>
    <w:rsid w:val="00C32D10"/>
    <w:rsid w:val="00C92CC6"/>
    <w:rsid w:val="00CB5762"/>
    <w:rsid w:val="00CE0070"/>
    <w:rsid w:val="00CE7365"/>
    <w:rsid w:val="00D32470"/>
    <w:rsid w:val="00D8097E"/>
    <w:rsid w:val="00D900FF"/>
    <w:rsid w:val="00D9553F"/>
    <w:rsid w:val="00DA4DA5"/>
    <w:rsid w:val="00E22E73"/>
    <w:rsid w:val="00E30B70"/>
    <w:rsid w:val="00E4592B"/>
    <w:rsid w:val="00E50116"/>
    <w:rsid w:val="00E55EB9"/>
    <w:rsid w:val="00E72862"/>
    <w:rsid w:val="00E90BCD"/>
    <w:rsid w:val="00E94431"/>
    <w:rsid w:val="00E97188"/>
    <w:rsid w:val="00EA14C8"/>
    <w:rsid w:val="00EA19B1"/>
    <w:rsid w:val="00EA576E"/>
    <w:rsid w:val="00EB7AA4"/>
    <w:rsid w:val="00ED79F2"/>
    <w:rsid w:val="00EF1441"/>
    <w:rsid w:val="00EF6910"/>
    <w:rsid w:val="00F12EDF"/>
    <w:rsid w:val="00F36CF3"/>
    <w:rsid w:val="00F544EC"/>
    <w:rsid w:val="00F70515"/>
    <w:rsid w:val="00F81688"/>
    <w:rsid w:val="00F86960"/>
    <w:rsid w:val="00F90BE2"/>
    <w:rsid w:val="00F940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858D0"/>
  <w15:chartTrackingRefBased/>
  <w15:docId w15:val="{DE0097E2-4B88-46DF-973D-2A2CF98B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51"/>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651"/>
    <w:pPr>
      <w:tabs>
        <w:tab w:val="center" w:pos="4819"/>
        <w:tab w:val="right" w:pos="9639"/>
      </w:tabs>
    </w:pPr>
  </w:style>
  <w:style w:type="character" w:customStyle="1" w:styleId="a4">
    <w:name w:val="Верхній колонтитул Знак"/>
    <w:basedOn w:val="a0"/>
    <w:link w:val="a3"/>
    <w:uiPriority w:val="99"/>
    <w:rsid w:val="004C0651"/>
    <w:rPr>
      <w:rFonts w:ascii="Times New Roman" w:eastAsia="Times New Roman" w:hAnsi="Times New Roman" w:cs="Times New Roman"/>
      <w:sz w:val="28"/>
      <w:szCs w:val="28"/>
      <w:lang w:eastAsia="uk-UA"/>
    </w:rPr>
  </w:style>
  <w:style w:type="table" w:styleId="a5">
    <w:name w:val="Table Grid"/>
    <w:basedOn w:val="a1"/>
    <w:uiPriority w:val="59"/>
    <w:rsid w:val="004C065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4EC"/>
    <w:pPr>
      <w:ind w:left="720"/>
      <w:contextualSpacing/>
    </w:pPr>
  </w:style>
  <w:style w:type="character" w:styleId="a7">
    <w:name w:val="annotation reference"/>
    <w:basedOn w:val="a0"/>
    <w:uiPriority w:val="99"/>
    <w:semiHidden/>
    <w:unhideWhenUsed/>
    <w:rsid w:val="003F5B0E"/>
    <w:rPr>
      <w:sz w:val="16"/>
      <w:szCs w:val="16"/>
    </w:rPr>
  </w:style>
  <w:style w:type="paragraph" w:styleId="a8">
    <w:name w:val="annotation text"/>
    <w:basedOn w:val="a"/>
    <w:link w:val="a9"/>
    <w:uiPriority w:val="99"/>
    <w:semiHidden/>
    <w:unhideWhenUsed/>
    <w:rsid w:val="003F5B0E"/>
    <w:rPr>
      <w:sz w:val="20"/>
      <w:szCs w:val="20"/>
    </w:rPr>
  </w:style>
  <w:style w:type="character" w:customStyle="1" w:styleId="a9">
    <w:name w:val="Текст примітки Знак"/>
    <w:basedOn w:val="a0"/>
    <w:link w:val="a8"/>
    <w:uiPriority w:val="99"/>
    <w:semiHidden/>
    <w:rsid w:val="003F5B0E"/>
    <w:rPr>
      <w:rFonts w:ascii="Times New Roman" w:eastAsia="Times New Roman" w:hAnsi="Times New Roman" w:cs="Times New Roman"/>
      <w:sz w:val="20"/>
      <w:szCs w:val="20"/>
      <w:lang w:eastAsia="uk-UA"/>
    </w:rPr>
  </w:style>
  <w:style w:type="paragraph" w:styleId="aa">
    <w:name w:val="annotation subject"/>
    <w:basedOn w:val="a8"/>
    <w:next w:val="a8"/>
    <w:link w:val="ab"/>
    <w:uiPriority w:val="99"/>
    <w:semiHidden/>
    <w:unhideWhenUsed/>
    <w:rsid w:val="003F5B0E"/>
    <w:rPr>
      <w:b/>
      <w:bCs/>
    </w:rPr>
  </w:style>
  <w:style w:type="character" w:customStyle="1" w:styleId="ab">
    <w:name w:val="Тема примітки Знак"/>
    <w:basedOn w:val="a9"/>
    <w:link w:val="aa"/>
    <w:uiPriority w:val="99"/>
    <w:semiHidden/>
    <w:rsid w:val="003F5B0E"/>
    <w:rPr>
      <w:rFonts w:ascii="Times New Roman" w:eastAsia="Times New Roman" w:hAnsi="Times New Roman" w:cs="Times New Roman"/>
      <w:b/>
      <w:bCs/>
      <w:sz w:val="20"/>
      <w:szCs w:val="20"/>
      <w:lang w:eastAsia="uk-UA"/>
    </w:rPr>
  </w:style>
  <w:style w:type="paragraph" w:styleId="ac">
    <w:name w:val="Balloon Text"/>
    <w:basedOn w:val="a"/>
    <w:link w:val="ad"/>
    <w:uiPriority w:val="99"/>
    <w:semiHidden/>
    <w:unhideWhenUsed/>
    <w:rsid w:val="003F5B0E"/>
    <w:rPr>
      <w:rFonts w:ascii="Segoe UI" w:hAnsi="Segoe UI" w:cs="Segoe UI"/>
      <w:sz w:val="18"/>
      <w:szCs w:val="18"/>
    </w:rPr>
  </w:style>
  <w:style w:type="character" w:customStyle="1" w:styleId="ad">
    <w:name w:val="Текст у виносці Знак"/>
    <w:basedOn w:val="a0"/>
    <w:link w:val="ac"/>
    <w:uiPriority w:val="99"/>
    <w:semiHidden/>
    <w:rsid w:val="003F5B0E"/>
    <w:rPr>
      <w:rFonts w:ascii="Segoe UI" w:eastAsia="Times New Roman" w:hAnsi="Segoe UI" w:cs="Segoe UI"/>
      <w:sz w:val="18"/>
      <w:szCs w:val="18"/>
      <w:lang w:eastAsia="uk-UA"/>
    </w:rPr>
  </w:style>
  <w:style w:type="paragraph" w:customStyle="1" w:styleId="Default">
    <w:name w:val="Default"/>
    <w:rsid w:val="004566E9"/>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footer"/>
    <w:basedOn w:val="a"/>
    <w:link w:val="af"/>
    <w:uiPriority w:val="99"/>
    <w:unhideWhenUsed/>
    <w:rsid w:val="002A0176"/>
    <w:pPr>
      <w:tabs>
        <w:tab w:val="center" w:pos="4819"/>
        <w:tab w:val="right" w:pos="9639"/>
      </w:tabs>
    </w:pPr>
  </w:style>
  <w:style w:type="character" w:customStyle="1" w:styleId="af">
    <w:name w:val="Нижній колонтитул Знак"/>
    <w:basedOn w:val="a0"/>
    <w:link w:val="ae"/>
    <w:uiPriority w:val="99"/>
    <w:rsid w:val="002A0176"/>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B870-B611-4A11-AC37-717327A0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4117</Words>
  <Characters>2348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Смаляна Тетяна Вікторівна</dc:creator>
  <cp:keywords/>
  <dc:description/>
  <cp:lastModifiedBy>Купрійчук Олександра Анатоліївна</cp:lastModifiedBy>
  <cp:revision>2</cp:revision>
  <dcterms:created xsi:type="dcterms:W3CDTF">2023-09-01T06:44:00Z</dcterms:created>
  <dcterms:modified xsi:type="dcterms:W3CDTF">2023-09-01T06:44:00Z</dcterms:modified>
</cp:coreProperties>
</file>