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BF" w:rsidRPr="00C643B7" w:rsidRDefault="00C643B7" w:rsidP="004646FD">
      <w:pPr>
        <w:spacing w:after="0" w:line="240" w:lineRule="auto"/>
        <w:ind w:firstLine="709"/>
        <w:jc w:val="right"/>
        <w:rPr>
          <w:rFonts w:ascii="Times New Roman" w:eastAsia="SimSun" w:hAnsi="Times New Roman"/>
          <w:sz w:val="28"/>
          <w:szCs w:val="28"/>
          <w:lang w:eastAsia="uk-UA"/>
        </w:rPr>
      </w:pPr>
      <w:bookmarkStart w:id="0" w:name="_GoBack"/>
      <w:bookmarkEnd w:id="0"/>
      <w:r>
        <w:rPr>
          <w:rFonts w:ascii="Times New Roman" w:eastAsia="SimSun" w:hAnsi="Times New Roman"/>
          <w:sz w:val="28"/>
          <w:szCs w:val="28"/>
          <w:lang w:eastAsia="uk-UA"/>
        </w:rPr>
        <w:t>ПРОЄКТ</w:t>
      </w:r>
    </w:p>
    <w:tbl>
      <w:tblPr>
        <w:tblW w:w="9854" w:type="dxa"/>
        <w:tblLook w:val="04A0" w:firstRow="1" w:lastRow="0" w:firstColumn="1" w:lastColumn="0" w:noHBand="0" w:noVBand="1"/>
      </w:tblPr>
      <w:tblGrid>
        <w:gridCol w:w="3208"/>
        <w:gridCol w:w="302"/>
        <w:gridCol w:w="2694"/>
        <w:gridCol w:w="231"/>
        <w:gridCol w:w="1482"/>
        <w:gridCol w:w="1722"/>
        <w:gridCol w:w="215"/>
      </w:tblGrid>
      <w:tr w:rsidR="003B2A82" w:rsidRPr="00C643B7" w:rsidTr="003B2A82">
        <w:trPr>
          <w:gridAfter w:val="1"/>
          <w:wAfter w:w="215" w:type="dxa"/>
          <w:trHeight w:val="851"/>
        </w:trPr>
        <w:tc>
          <w:tcPr>
            <w:tcW w:w="3208" w:type="dxa"/>
          </w:tcPr>
          <w:p w:rsidR="003B2A82" w:rsidRPr="00AA7BFE" w:rsidRDefault="003B2A82" w:rsidP="004646FD">
            <w:pPr>
              <w:spacing w:after="0" w:line="240" w:lineRule="auto"/>
              <w:jc w:val="both"/>
              <w:rPr>
                <w:rFonts w:ascii="Times New Roman" w:eastAsia="SimSun" w:hAnsi="Times New Roman"/>
                <w:sz w:val="28"/>
                <w:szCs w:val="28"/>
              </w:rPr>
            </w:pPr>
          </w:p>
        </w:tc>
        <w:tc>
          <w:tcPr>
            <w:tcW w:w="3227" w:type="dxa"/>
            <w:gridSpan w:val="3"/>
            <w:vMerge w:val="restart"/>
            <w:hideMark/>
          </w:tcPr>
          <w:p w:rsidR="003B2A82" w:rsidRPr="00C643B7" w:rsidRDefault="00806508" w:rsidP="004646FD">
            <w:pPr>
              <w:spacing w:after="0" w:line="240" w:lineRule="auto"/>
              <w:jc w:val="center"/>
              <w:rPr>
                <w:rFonts w:ascii="Times New Roman" w:eastAsia="SimSun" w:hAnsi="Times New Roman"/>
                <w:sz w:val="28"/>
                <w:szCs w:val="28"/>
              </w:rPr>
            </w:pPr>
            <w:r w:rsidRPr="00C643B7">
              <w:rPr>
                <w:rFonts w:ascii="Times New Roman" w:eastAsia="SimSun" w:hAnsi="Times New Roman"/>
                <w:noProof/>
                <w:sz w:val="28"/>
                <w:szCs w:val="28"/>
                <w:lang w:eastAsia="uk-UA"/>
              </w:rPr>
              <w:drawing>
                <wp:inline distT="0" distB="0" distL="0" distR="0">
                  <wp:extent cx="435610" cy="598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10" cy="598805"/>
                          </a:xfrm>
                          <a:prstGeom prst="rect">
                            <a:avLst/>
                          </a:prstGeom>
                          <a:noFill/>
                          <a:ln>
                            <a:noFill/>
                          </a:ln>
                        </pic:spPr>
                      </pic:pic>
                    </a:graphicData>
                  </a:graphic>
                </wp:inline>
              </w:drawing>
            </w:r>
          </w:p>
        </w:tc>
        <w:tc>
          <w:tcPr>
            <w:tcW w:w="3204" w:type="dxa"/>
            <w:gridSpan w:val="2"/>
          </w:tcPr>
          <w:p w:rsidR="003B2A82" w:rsidRPr="00C643B7" w:rsidRDefault="003B2A82" w:rsidP="004646FD">
            <w:pPr>
              <w:spacing w:after="0" w:line="240" w:lineRule="auto"/>
              <w:jc w:val="both"/>
              <w:rPr>
                <w:rFonts w:ascii="Times New Roman" w:eastAsia="SimSun" w:hAnsi="Times New Roman"/>
                <w:sz w:val="28"/>
                <w:szCs w:val="28"/>
              </w:rPr>
            </w:pPr>
          </w:p>
        </w:tc>
      </w:tr>
      <w:tr w:rsidR="003B2A82" w:rsidRPr="00C643B7" w:rsidTr="003B2A82">
        <w:trPr>
          <w:gridAfter w:val="1"/>
          <w:wAfter w:w="215" w:type="dxa"/>
        </w:trPr>
        <w:tc>
          <w:tcPr>
            <w:tcW w:w="3208" w:type="dxa"/>
          </w:tcPr>
          <w:p w:rsidR="003B2A82" w:rsidRPr="00C643B7" w:rsidRDefault="003B2A82" w:rsidP="004646FD">
            <w:pPr>
              <w:spacing w:after="0" w:line="240" w:lineRule="auto"/>
              <w:jc w:val="both"/>
              <w:rPr>
                <w:rFonts w:ascii="Times New Roman" w:eastAsia="SimSun" w:hAnsi="Times New Roman"/>
                <w:sz w:val="28"/>
                <w:szCs w:val="28"/>
              </w:rPr>
            </w:pPr>
          </w:p>
        </w:tc>
        <w:tc>
          <w:tcPr>
            <w:tcW w:w="0" w:type="auto"/>
            <w:gridSpan w:val="3"/>
            <w:vMerge/>
            <w:vAlign w:val="center"/>
            <w:hideMark/>
          </w:tcPr>
          <w:p w:rsidR="003B2A82" w:rsidRPr="00C643B7" w:rsidRDefault="003B2A82" w:rsidP="004646FD">
            <w:pPr>
              <w:spacing w:after="0" w:line="240" w:lineRule="auto"/>
              <w:rPr>
                <w:rFonts w:ascii="Times New Roman" w:eastAsia="SimSun" w:hAnsi="Times New Roman"/>
                <w:sz w:val="28"/>
                <w:szCs w:val="28"/>
              </w:rPr>
            </w:pPr>
          </w:p>
        </w:tc>
        <w:tc>
          <w:tcPr>
            <w:tcW w:w="3204" w:type="dxa"/>
            <w:gridSpan w:val="2"/>
          </w:tcPr>
          <w:p w:rsidR="003B2A82" w:rsidRPr="00C643B7" w:rsidRDefault="003B2A82" w:rsidP="004646FD">
            <w:pPr>
              <w:spacing w:after="0" w:line="240" w:lineRule="auto"/>
              <w:jc w:val="both"/>
              <w:rPr>
                <w:rFonts w:ascii="Times New Roman" w:eastAsia="SimSun" w:hAnsi="Times New Roman"/>
                <w:sz w:val="28"/>
                <w:szCs w:val="28"/>
              </w:rPr>
            </w:pPr>
          </w:p>
        </w:tc>
      </w:tr>
      <w:tr w:rsidR="003B2A82" w:rsidRPr="00C643B7" w:rsidTr="003B2A82">
        <w:trPr>
          <w:gridAfter w:val="1"/>
          <w:wAfter w:w="215" w:type="dxa"/>
        </w:trPr>
        <w:tc>
          <w:tcPr>
            <w:tcW w:w="9639" w:type="dxa"/>
            <w:gridSpan w:val="6"/>
            <w:hideMark/>
          </w:tcPr>
          <w:p w:rsidR="003B2A82" w:rsidRPr="00C643B7" w:rsidRDefault="003B2A82" w:rsidP="004646FD">
            <w:pPr>
              <w:tabs>
                <w:tab w:val="left" w:pos="-3600"/>
              </w:tabs>
              <w:spacing w:before="120" w:after="120" w:line="240" w:lineRule="auto"/>
              <w:jc w:val="center"/>
              <w:rPr>
                <w:rFonts w:ascii="Times New Roman" w:eastAsia="SimSun" w:hAnsi="Times New Roman"/>
                <w:b/>
                <w:bCs/>
                <w:color w:val="006600"/>
                <w:spacing w:val="10"/>
                <w:sz w:val="28"/>
                <w:szCs w:val="28"/>
              </w:rPr>
            </w:pPr>
            <w:r w:rsidRPr="00C643B7">
              <w:rPr>
                <w:rFonts w:ascii="Times New Roman" w:eastAsia="SimSun" w:hAnsi="Times New Roman"/>
                <w:b/>
                <w:bCs/>
                <w:color w:val="006600"/>
                <w:spacing w:val="10"/>
                <w:sz w:val="28"/>
                <w:szCs w:val="28"/>
              </w:rPr>
              <w:t>Правління Національного банку України</w:t>
            </w:r>
          </w:p>
          <w:p w:rsidR="003B2A82" w:rsidRPr="00C643B7" w:rsidRDefault="003B2A82" w:rsidP="004646FD">
            <w:pPr>
              <w:spacing w:after="0" w:line="240" w:lineRule="auto"/>
              <w:jc w:val="center"/>
              <w:rPr>
                <w:rFonts w:ascii="Times New Roman" w:eastAsia="SimSun" w:hAnsi="Times New Roman"/>
                <w:b/>
                <w:bCs/>
                <w:color w:val="006600"/>
                <w:sz w:val="32"/>
                <w:szCs w:val="32"/>
              </w:rPr>
            </w:pPr>
            <w:r w:rsidRPr="00C643B7">
              <w:rPr>
                <w:rFonts w:ascii="Times New Roman" w:eastAsia="SimSun" w:hAnsi="Times New Roman"/>
                <w:b/>
                <w:bCs/>
                <w:color w:val="006600"/>
                <w:sz w:val="32"/>
                <w:szCs w:val="32"/>
              </w:rPr>
              <w:t>П О С Т А Н О В А</w:t>
            </w:r>
          </w:p>
          <w:p w:rsidR="003B2A82" w:rsidRPr="00C643B7" w:rsidRDefault="003B2A82" w:rsidP="004646FD">
            <w:pPr>
              <w:spacing w:after="0" w:line="240" w:lineRule="auto"/>
              <w:jc w:val="center"/>
              <w:rPr>
                <w:rFonts w:ascii="Times New Roman" w:eastAsia="SimSun" w:hAnsi="Times New Roman"/>
                <w:sz w:val="28"/>
                <w:szCs w:val="28"/>
              </w:rPr>
            </w:pPr>
          </w:p>
        </w:tc>
      </w:tr>
      <w:tr w:rsidR="003B2A82" w:rsidRPr="00C643B7" w:rsidTr="003B2A82">
        <w:tc>
          <w:tcPr>
            <w:tcW w:w="3510" w:type="dxa"/>
            <w:gridSpan w:val="2"/>
            <w:tcBorders>
              <w:top w:val="nil"/>
              <w:left w:val="nil"/>
              <w:bottom w:val="single" w:sz="4" w:space="0" w:color="006600"/>
              <w:right w:val="nil"/>
            </w:tcBorders>
            <w:vAlign w:val="bottom"/>
          </w:tcPr>
          <w:p w:rsidR="003B2A82" w:rsidRPr="00C643B7" w:rsidRDefault="003B2A82" w:rsidP="004646FD">
            <w:pPr>
              <w:spacing w:after="0" w:line="240" w:lineRule="auto"/>
              <w:jc w:val="both"/>
              <w:rPr>
                <w:rFonts w:ascii="Times New Roman" w:eastAsia="SimSun" w:hAnsi="Times New Roman"/>
                <w:sz w:val="28"/>
                <w:szCs w:val="28"/>
              </w:rPr>
            </w:pPr>
          </w:p>
        </w:tc>
        <w:tc>
          <w:tcPr>
            <w:tcW w:w="2694" w:type="dxa"/>
            <w:hideMark/>
          </w:tcPr>
          <w:p w:rsidR="003B2A82" w:rsidRPr="00C643B7" w:rsidRDefault="003B2A82" w:rsidP="004646FD">
            <w:pPr>
              <w:spacing w:before="240" w:after="0" w:line="240" w:lineRule="auto"/>
              <w:jc w:val="center"/>
              <w:rPr>
                <w:rFonts w:ascii="Times New Roman" w:eastAsia="SimSun" w:hAnsi="Times New Roman"/>
                <w:sz w:val="28"/>
                <w:szCs w:val="28"/>
              </w:rPr>
            </w:pPr>
            <w:r w:rsidRPr="00C643B7">
              <w:rPr>
                <w:rFonts w:ascii="Times New Roman" w:eastAsia="SimSun" w:hAnsi="Times New Roman"/>
                <w:color w:val="006600"/>
                <w:sz w:val="28"/>
                <w:szCs w:val="28"/>
              </w:rPr>
              <w:t>м. Київ</w:t>
            </w:r>
          </w:p>
        </w:tc>
        <w:tc>
          <w:tcPr>
            <w:tcW w:w="1713" w:type="dxa"/>
            <w:gridSpan w:val="2"/>
            <w:vAlign w:val="bottom"/>
            <w:hideMark/>
          </w:tcPr>
          <w:p w:rsidR="003B2A82" w:rsidRPr="00C643B7" w:rsidRDefault="003B2A82" w:rsidP="004646FD">
            <w:pPr>
              <w:spacing w:after="0" w:line="240" w:lineRule="auto"/>
              <w:jc w:val="right"/>
              <w:rPr>
                <w:rFonts w:ascii="Times New Roman" w:eastAsia="SimSun" w:hAnsi="Times New Roman"/>
                <w:sz w:val="28"/>
                <w:szCs w:val="28"/>
              </w:rPr>
            </w:pPr>
            <w:r w:rsidRPr="00C643B7">
              <w:rPr>
                <w:rFonts w:ascii="Times New Roman" w:eastAsia="SimSun" w:hAnsi="Times New Roman"/>
                <w:color w:val="006600"/>
                <w:sz w:val="28"/>
                <w:szCs w:val="28"/>
              </w:rPr>
              <w:t>№</w:t>
            </w:r>
          </w:p>
        </w:tc>
        <w:tc>
          <w:tcPr>
            <w:tcW w:w="1937" w:type="dxa"/>
            <w:gridSpan w:val="2"/>
            <w:tcBorders>
              <w:top w:val="nil"/>
              <w:left w:val="nil"/>
              <w:bottom w:val="single" w:sz="4" w:space="0" w:color="006600"/>
              <w:right w:val="nil"/>
            </w:tcBorders>
            <w:vAlign w:val="bottom"/>
          </w:tcPr>
          <w:p w:rsidR="003B2A82" w:rsidRPr="00C643B7" w:rsidRDefault="003B2A82" w:rsidP="004646FD">
            <w:pPr>
              <w:spacing w:after="0" w:line="240" w:lineRule="auto"/>
              <w:rPr>
                <w:rFonts w:ascii="Times New Roman" w:eastAsia="SimSun" w:hAnsi="Times New Roman"/>
                <w:sz w:val="28"/>
                <w:szCs w:val="28"/>
              </w:rPr>
            </w:pPr>
          </w:p>
        </w:tc>
      </w:tr>
    </w:tbl>
    <w:p w:rsidR="003B2A82" w:rsidRPr="00C643B7" w:rsidRDefault="003B2A82" w:rsidP="004646FD">
      <w:pPr>
        <w:spacing w:after="0" w:line="240" w:lineRule="auto"/>
        <w:ind w:left="1843" w:right="1275"/>
        <w:jc w:val="center"/>
        <w:rPr>
          <w:rFonts w:ascii="Times New Roman" w:eastAsia="SimSun" w:hAnsi="Times New Roman"/>
          <w:sz w:val="28"/>
          <w:szCs w:val="28"/>
          <w:lang w:eastAsia="uk-UA"/>
        </w:rPr>
      </w:pPr>
    </w:p>
    <w:p w:rsidR="00D77E6B" w:rsidRPr="00C643B7" w:rsidRDefault="00D77E6B" w:rsidP="004646FD">
      <w:pPr>
        <w:spacing w:after="0" w:line="240" w:lineRule="auto"/>
        <w:ind w:left="1843" w:right="1275"/>
        <w:jc w:val="center"/>
        <w:rPr>
          <w:rFonts w:ascii="Times New Roman" w:eastAsia="SimSun" w:hAnsi="Times New Roman"/>
          <w:sz w:val="28"/>
          <w:szCs w:val="28"/>
          <w:lang w:eastAsia="uk-UA"/>
        </w:rPr>
      </w:pPr>
    </w:p>
    <w:p w:rsidR="00970A36" w:rsidRPr="00C643B7" w:rsidRDefault="003B2A82" w:rsidP="004646FD">
      <w:pPr>
        <w:spacing w:after="0" w:line="240" w:lineRule="auto"/>
        <w:jc w:val="center"/>
        <w:rPr>
          <w:rFonts w:ascii="Times New Roman" w:eastAsia="SimSun" w:hAnsi="Times New Roman"/>
          <w:sz w:val="28"/>
          <w:szCs w:val="28"/>
          <w:lang w:eastAsia="uk-UA"/>
        </w:rPr>
      </w:pPr>
      <w:r w:rsidRPr="00C643B7">
        <w:rPr>
          <w:rFonts w:ascii="Times New Roman" w:eastAsia="SimSun" w:hAnsi="Times New Roman"/>
          <w:sz w:val="28"/>
          <w:szCs w:val="28"/>
          <w:lang w:eastAsia="uk-UA"/>
        </w:rPr>
        <w:t xml:space="preserve">Про затвердження </w:t>
      </w:r>
      <w:r w:rsidR="00861638" w:rsidRPr="00C643B7">
        <w:rPr>
          <w:rFonts w:ascii="Times New Roman" w:eastAsia="SimSun" w:hAnsi="Times New Roman"/>
          <w:sz w:val="28"/>
          <w:szCs w:val="28"/>
          <w:lang w:eastAsia="uk-UA"/>
        </w:rPr>
        <w:t>Положення про встановлення к</w:t>
      </w:r>
      <w:r w:rsidRPr="00C643B7">
        <w:rPr>
          <w:rFonts w:ascii="Times New Roman" w:eastAsia="SimSun" w:hAnsi="Times New Roman"/>
          <w:sz w:val="28"/>
          <w:szCs w:val="28"/>
          <w:lang w:eastAsia="uk-UA"/>
        </w:rPr>
        <w:t xml:space="preserve">ритеріїв, за якими </w:t>
      </w:r>
    </w:p>
    <w:p w:rsidR="00970A36" w:rsidRPr="00C643B7" w:rsidRDefault="003B2A82" w:rsidP="004646FD">
      <w:pPr>
        <w:spacing w:after="0" w:line="240" w:lineRule="auto"/>
        <w:jc w:val="center"/>
        <w:rPr>
          <w:rFonts w:ascii="Times New Roman" w:eastAsia="SimSun" w:hAnsi="Times New Roman"/>
          <w:sz w:val="28"/>
          <w:szCs w:val="28"/>
          <w:lang w:eastAsia="uk-UA"/>
        </w:rPr>
      </w:pPr>
      <w:r w:rsidRPr="00C643B7">
        <w:rPr>
          <w:rFonts w:ascii="Times New Roman" w:eastAsia="SimSun" w:hAnsi="Times New Roman"/>
          <w:sz w:val="28"/>
          <w:szCs w:val="28"/>
          <w:lang w:eastAsia="uk-UA"/>
        </w:rPr>
        <w:t xml:space="preserve">оцінюється ступінь ризику від здійснення діяльності учасниками ринку </w:t>
      </w:r>
      <w:r w:rsidR="00970A36" w:rsidRPr="00C643B7">
        <w:rPr>
          <w:rFonts w:ascii="Times New Roman" w:eastAsia="SimSun" w:hAnsi="Times New Roman"/>
          <w:sz w:val="28"/>
          <w:szCs w:val="28"/>
          <w:lang w:eastAsia="uk-UA"/>
        </w:rPr>
        <w:t>н</w:t>
      </w:r>
      <w:r w:rsidRPr="00C643B7">
        <w:rPr>
          <w:rFonts w:ascii="Times New Roman" w:eastAsia="SimSun" w:hAnsi="Times New Roman"/>
          <w:sz w:val="28"/>
          <w:szCs w:val="28"/>
          <w:lang w:eastAsia="uk-UA"/>
        </w:rPr>
        <w:t>ебанківських фінансових послуг</w:t>
      </w:r>
      <w:r w:rsidR="004A7C7C" w:rsidRPr="00C643B7">
        <w:rPr>
          <w:rFonts w:ascii="Times New Roman" w:eastAsia="SimSun" w:hAnsi="Times New Roman"/>
          <w:sz w:val="28"/>
          <w:szCs w:val="28"/>
          <w:lang w:eastAsia="uk-UA"/>
        </w:rPr>
        <w:t>,</w:t>
      </w:r>
      <w:r w:rsidRPr="00C643B7">
        <w:rPr>
          <w:rFonts w:ascii="Times New Roman" w:eastAsia="SimSun" w:hAnsi="Times New Roman"/>
          <w:sz w:val="28"/>
          <w:szCs w:val="28"/>
          <w:lang w:eastAsia="uk-UA"/>
        </w:rPr>
        <w:t xml:space="preserve"> їх суспільну важливість, на підставі </w:t>
      </w:r>
    </w:p>
    <w:p w:rsidR="003B2A82" w:rsidRPr="00C643B7" w:rsidRDefault="003B2A82" w:rsidP="004646FD">
      <w:pPr>
        <w:spacing w:after="0" w:line="240" w:lineRule="auto"/>
        <w:jc w:val="center"/>
        <w:rPr>
          <w:rFonts w:ascii="Times New Roman" w:eastAsia="Times New Roman" w:hAnsi="Times New Roman"/>
          <w:bCs/>
          <w:color w:val="000000"/>
          <w:sz w:val="28"/>
          <w:szCs w:val="28"/>
          <w:lang w:eastAsia="uk-UA"/>
        </w:rPr>
      </w:pPr>
      <w:r w:rsidRPr="00C643B7">
        <w:rPr>
          <w:rFonts w:ascii="Times New Roman" w:eastAsia="SimSun" w:hAnsi="Times New Roman"/>
          <w:sz w:val="28"/>
          <w:szCs w:val="28"/>
          <w:lang w:eastAsia="uk-UA"/>
        </w:rPr>
        <w:t>яких визначається періодичність проведення планових інспекційних перевірок</w:t>
      </w:r>
      <w:r w:rsidR="00861638" w:rsidRPr="00C643B7">
        <w:rPr>
          <w:rFonts w:ascii="Times New Roman" w:eastAsia="SimSun" w:hAnsi="Times New Roman"/>
          <w:sz w:val="28"/>
          <w:szCs w:val="28"/>
          <w:lang w:eastAsia="uk-UA"/>
        </w:rPr>
        <w:t>, та поряд</w:t>
      </w:r>
      <w:r w:rsidR="004A7C7C" w:rsidRPr="00C643B7">
        <w:rPr>
          <w:rFonts w:ascii="Times New Roman" w:eastAsia="SimSun" w:hAnsi="Times New Roman"/>
          <w:sz w:val="28"/>
          <w:szCs w:val="28"/>
          <w:lang w:eastAsia="uk-UA"/>
        </w:rPr>
        <w:t>о</w:t>
      </w:r>
      <w:r w:rsidR="00861638" w:rsidRPr="00C643B7">
        <w:rPr>
          <w:rFonts w:ascii="Times New Roman" w:eastAsia="SimSun" w:hAnsi="Times New Roman"/>
          <w:sz w:val="28"/>
          <w:szCs w:val="28"/>
          <w:lang w:eastAsia="uk-UA"/>
        </w:rPr>
        <w:t>к їх застосування</w:t>
      </w:r>
    </w:p>
    <w:p w:rsidR="003B2A82" w:rsidRPr="00C643B7" w:rsidRDefault="003B2A82" w:rsidP="004646FD">
      <w:pPr>
        <w:spacing w:after="0" w:line="240" w:lineRule="auto"/>
        <w:ind w:left="1843" w:right="1275"/>
        <w:jc w:val="right"/>
        <w:rPr>
          <w:rFonts w:ascii="Times New Roman" w:eastAsia="Times New Roman" w:hAnsi="Times New Roman"/>
          <w:color w:val="000000"/>
          <w:sz w:val="28"/>
          <w:szCs w:val="28"/>
        </w:rPr>
      </w:pPr>
    </w:p>
    <w:p w:rsidR="00D77E6B" w:rsidRPr="00C643B7" w:rsidRDefault="00D77E6B" w:rsidP="004646FD">
      <w:pPr>
        <w:spacing w:after="0" w:line="240" w:lineRule="auto"/>
        <w:ind w:left="1843" w:right="1275"/>
        <w:jc w:val="right"/>
        <w:rPr>
          <w:rFonts w:ascii="Times New Roman" w:eastAsia="Times New Roman" w:hAnsi="Times New Roman"/>
          <w:color w:val="000000"/>
          <w:sz w:val="28"/>
          <w:szCs w:val="28"/>
        </w:rPr>
      </w:pPr>
    </w:p>
    <w:p w:rsidR="003B2A82" w:rsidRPr="00C643B7" w:rsidRDefault="003B2A82" w:rsidP="004646FD">
      <w:pPr>
        <w:spacing w:after="0" w:line="240" w:lineRule="auto"/>
        <w:ind w:firstLine="709"/>
        <w:jc w:val="both"/>
        <w:rPr>
          <w:rFonts w:ascii="Times New Roman" w:eastAsia="SimSun" w:hAnsi="Times New Roman"/>
          <w:sz w:val="28"/>
          <w:szCs w:val="28"/>
          <w:lang w:eastAsia="uk-UA"/>
        </w:rPr>
      </w:pPr>
      <w:r w:rsidRPr="00C643B7">
        <w:rPr>
          <w:rFonts w:ascii="Times New Roman" w:eastAsia="SimSun" w:hAnsi="Times New Roman"/>
          <w:sz w:val="28"/>
          <w:szCs w:val="28"/>
          <w:lang w:eastAsia="uk-UA"/>
        </w:rPr>
        <w:t>Відповідно до статей 7, 15, 55</w:t>
      </w:r>
      <w:r w:rsidRPr="00C643B7">
        <w:rPr>
          <w:rFonts w:ascii="Times New Roman" w:eastAsia="SimSun" w:hAnsi="Times New Roman"/>
          <w:sz w:val="28"/>
          <w:szCs w:val="28"/>
          <w:vertAlign w:val="superscript"/>
          <w:lang w:eastAsia="uk-UA"/>
        </w:rPr>
        <w:t>1</w:t>
      </w:r>
      <w:r w:rsidRPr="00C643B7">
        <w:rPr>
          <w:rFonts w:ascii="Times New Roman" w:eastAsia="SimSun" w:hAnsi="Times New Roman"/>
          <w:sz w:val="28"/>
          <w:szCs w:val="28"/>
          <w:lang w:eastAsia="uk-UA"/>
        </w:rPr>
        <w:t xml:space="preserve">, 56 Закону України “Про Національний банк України”, статей 21, 28, 29, 30 Закону України “Про фінансові послуги та державне регулювання ринків фінансових послуг”, з метою </w:t>
      </w:r>
      <w:r w:rsidR="00E96012" w:rsidRPr="00C643B7">
        <w:rPr>
          <w:rFonts w:ascii="Times New Roman" w:eastAsia="SimSun" w:hAnsi="Times New Roman"/>
          <w:sz w:val="28"/>
          <w:szCs w:val="28"/>
          <w:lang w:eastAsia="uk-UA"/>
        </w:rPr>
        <w:t xml:space="preserve">встановлення критеріїв, за якими оцінюється </w:t>
      </w:r>
      <w:r w:rsidR="00DA2F47" w:rsidRPr="00C643B7">
        <w:rPr>
          <w:rFonts w:ascii="Times New Roman" w:eastAsia="SimSun" w:hAnsi="Times New Roman"/>
          <w:sz w:val="28"/>
          <w:szCs w:val="28"/>
          <w:lang w:eastAsia="uk-UA"/>
        </w:rPr>
        <w:t xml:space="preserve">ступінь ризику від здійснення </w:t>
      </w:r>
      <w:r w:rsidR="00C80D3C" w:rsidRPr="00C643B7">
        <w:rPr>
          <w:rFonts w:ascii="Times New Roman" w:eastAsia="SimSun" w:hAnsi="Times New Roman"/>
          <w:sz w:val="28"/>
          <w:szCs w:val="28"/>
          <w:lang w:eastAsia="uk-UA"/>
        </w:rPr>
        <w:t>діяльності учасниками ринку небанківських фінансових послуг</w:t>
      </w:r>
      <w:r w:rsidR="004A7C7C" w:rsidRPr="00C643B7">
        <w:rPr>
          <w:rFonts w:ascii="Times New Roman" w:eastAsia="SimSun" w:hAnsi="Times New Roman"/>
          <w:sz w:val="28"/>
          <w:szCs w:val="28"/>
          <w:lang w:eastAsia="uk-UA"/>
        </w:rPr>
        <w:t>,</w:t>
      </w:r>
      <w:r w:rsidR="00C80D3C" w:rsidRPr="00C643B7">
        <w:rPr>
          <w:rFonts w:ascii="Times New Roman" w:eastAsia="SimSun" w:hAnsi="Times New Roman"/>
          <w:sz w:val="28"/>
          <w:szCs w:val="28"/>
          <w:lang w:eastAsia="uk-UA"/>
        </w:rPr>
        <w:t xml:space="preserve"> їх суспільну важливість, на підставі яких визначається періодичність проведення планових інспекційних перевірок</w:t>
      </w:r>
      <w:r w:rsidRPr="00C643B7">
        <w:rPr>
          <w:rFonts w:ascii="Times New Roman" w:eastAsia="SimSun" w:hAnsi="Times New Roman"/>
          <w:sz w:val="28"/>
          <w:szCs w:val="28"/>
          <w:lang w:eastAsia="uk-UA"/>
        </w:rPr>
        <w:t xml:space="preserve">, </w:t>
      </w:r>
      <w:r w:rsidR="004A7C7C" w:rsidRPr="00C643B7">
        <w:rPr>
          <w:rFonts w:ascii="Times New Roman" w:eastAsia="SimSun" w:hAnsi="Times New Roman"/>
          <w:sz w:val="28"/>
          <w:szCs w:val="28"/>
          <w:lang w:eastAsia="uk-UA"/>
        </w:rPr>
        <w:t xml:space="preserve">та порядку їх застосування </w:t>
      </w:r>
      <w:r w:rsidRPr="00C643B7">
        <w:rPr>
          <w:rFonts w:ascii="Times New Roman" w:eastAsia="SimSun" w:hAnsi="Times New Roman"/>
          <w:sz w:val="28"/>
          <w:szCs w:val="28"/>
          <w:lang w:eastAsia="uk-UA"/>
        </w:rPr>
        <w:t xml:space="preserve">Правління Національного банку України </w:t>
      </w:r>
      <w:r w:rsidRPr="00C643B7">
        <w:rPr>
          <w:rFonts w:ascii="Times New Roman" w:eastAsia="SimSun" w:hAnsi="Times New Roman"/>
          <w:b/>
          <w:sz w:val="28"/>
          <w:szCs w:val="28"/>
          <w:lang w:eastAsia="uk-UA"/>
        </w:rPr>
        <w:t>постановляє</w:t>
      </w:r>
      <w:r w:rsidRPr="00C643B7">
        <w:rPr>
          <w:rFonts w:ascii="Times New Roman" w:eastAsia="SimSun" w:hAnsi="Times New Roman"/>
          <w:sz w:val="28"/>
          <w:szCs w:val="28"/>
          <w:lang w:eastAsia="uk-UA"/>
        </w:rPr>
        <w:t>:</w:t>
      </w:r>
    </w:p>
    <w:p w:rsidR="003B2A82" w:rsidRPr="00C643B7" w:rsidRDefault="003B2A82" w:rsidP="004646FD">
      <w:pPr>
        <w:spacing w:after="0" w:line="240" w:lineRule="auto"/>
        <w:ind w:firstLine="709"/>
        <w:jc w:val="both"/>
        <w:rPr>
          <w:rFonts w:ascii="Times New Roman" w:eastAsia="SimSun" w:hAnsi="Times New Roman"/>
          <w:sz w:val="28"/>
          <w:szCs w:val="28"/>
          <w:lang w:eastAsia="uk-UA"/>
        </w:rPr>
      </w:pPr>
    </w:p>
    <w:p w:rsidR="003B2A82" w:rsidRPr="00C643B7" w:rsidRDefault="003B2A82" w:rsidP="004646FD">
      <w:pPr>
        <w:spacing w:after="0" w:line="240" w:lineRule="auto"/>
        <w:ind w:firstLine="709"/>
        <w:jc w:val="both"/>
        <w:rPr>
          <w:rFonts w:ascii="Times New Roman" w:eastAsia="Times New Roman" w:hAnsi="Times New Roman"/>
          <w:noProof/>
          <w:color w:val="000000"/>
          <w:sz w:val="28"/>
          <w:szCs w:val="28"/>
        </w:rPr>
      </w:pPr>
      <w:r w:rsidRPr="00C643B7">
        <w:rPr>
          <w:rFonts w:ascii="Times New Roman" w:eastAsia="SimSun" w:hAnsi="Times New Roman"/>
          <w:sz w:val="28"/>
          <w:szCs w:val="28"/>
          <w:lang w:eastAsia="uk-UA"/>
        </w:rPr>
        <w:t>1. </w:t>
      </w:r>
      <w:r w:rsidRPr="00C643B7">
        <w:rPr>
          <w:rFonts w:ascii="Times New Roman" w:eastAsia="Times New Roman" w:hAnsi="Times New Roman"/>
          <w:noProof/>
          <w:color w:val="000000"/>
          <w:sz w:val="28"/>
          <w:szCs w:val="28"/>
        </w:rPr>
        <w:t xml:space="preserve">Затвердити </w:t>
      </w:r>
      <w:r w:rsidR="00861638" w:rsidRPr="00C643B7">
        <w:rPr>
          <w:rFonts w:ascii="Times New Roman" w:eastAsia="Times New Roman" w:hAnsi="Times New Roman"/>
          <w:noProof/>
          <w:color w:val="000000"/>
          <w:sz w:val="28"/>
          <w:szCs w:val="28"/>
        </w:rPr>
        <w:t>Положення про встановлення к</w:t>
      </w:r>
      <w:r w:rsidRPr="00C643B7">
        <w:rPr>
          <w:rFonts w:ascii="Times New Roman" w:eastAsia="SimSun" w:hAnsi="Times New Roman"/>
          <w:sz w:val="28"/>
          <w:szCs w:val="28"/>
          <w:lang w:eastAsia="uk-UA"/>
        </w:rPr>
        <w:t>ритерії</w:t>
      </w:r>
      <w:r w:rsidR="00861638" w:rsidRPr="00C643B7">
        <w:rPr>
          <w:rFonts w:ascii="Times New Roman" w:eastAsia="SimSun" w:hAnsi="Times New Roman"/>
          <w:sz w:val="28"/>
          <w:szCs w:val="28"/>
          <w:lang w:eastAsia="uk-UA"/>
        </w:rPr>
        <w:t>в</w:t>
      </w:r>
      <w:r w:rsidRPr="00C643B7">
        <w:rPr>
          <w:rFonts w:ascii="Times New Roman" w:eastAsia="SimSun" w:hAnsi="Times New Roman"/>
          <w:sz w:val="28"/>
          <w:szCs w:val="28"/>
          <w:lang w:eastAsia="uk-UA"/>
        </w:rPr>
        <w:t>, за якими оцінюється ступінь ризику від здійснення діяльності учасниками ринку небанківських фінансових послуг</w:t>
      </w:r>
      <w:r w:rsidR="004A7C7C" w:rsidRPr="00C643B7">
        <w:rPr>
          <w:rFonts w:ascii="Times New Roman" w:eastAsia="SimSun" w:hAnsi="Times New Roman"/>
          <w:sz w:val="28"/>
          <w:szCs w:val="28"/>
          <w:lang w:eastAsia="uk-UA"/>
        </w:rPr>
        <w:t>,</w:t>
      </w:r>
      <w:r w:rsidRPr="00C643B7">
        <w:rPr>
          <w:rFonts w:ascii="Times New Roman" w:eastAsia="SimSun" w:hAnsi="Times New Roman"/>
          <w:sz w:val="28"/>
          <w:szCs w:val="28"/>
          <w:lang w:eastAsia="uk-UA"/>
        </w:rPr>
        <w:t xml:space="preserve"> їх суспільну важливість, на підставі яких визначається періодичність проведення планових інспекційних перевірок</w:t>
      </w:r>
      <w:r w:rsidRPr="00C643B7">
        <w:rPr>
          <w:rFonts w:ascii="Times New Roman" w:eastAsia="Times New Roman" w:hAnsi="Times New Roman"/>
          <w:noProof/>
          <w:color w:val="000000"/>
          <w:sz w:val="28"/>
          <w:szCs w:val="28"/>
        </w:rPr>
        <w:t xml:space="preserve">, </w:t>
      </w:r>
      <w:r w:rsidR="00861638" w:rsidRPr="00C643B7">
        <w:rPr>
          <w:rFonts w:ascii="Times New Roman" w:eastAsia="Times New Roman" w:hAnsi="Times New Roman"/>
          <w:noProof/>
          <w:color w:val="000000"/>
          <w:sz w:val="28"/>
          <w:szCs w:val="28"/>
        </w:rPr>
        <w:t>та поряд</w:t>
      </w:r>
      <w:r w:rsidR="004A7C7C" w:rsidRPr="00C643B7">
        <w:rPr>
          <w:rFonts w:ascii="Times New Roman" w:eastAsia="Times New Roman" w:hAnsi="Times New Roman"/>
          <w:noProof/>
          <w:color w:val="000000"/>
          <w:sz w:val="28"/>
          <w:szCs w:val="28"/>
        </w:rPr>
        <w:t>о</w:t>
      </w:r>
      <w:r w:rsidR="00861638" w:rsidRPr="00C643B7">
        <w:rPr>
          <w:rFonts w:ascii="Times New Roman" w:eastAsia="Times New Roman" w:hAnsi="Times New Roman"/>
          <w:noProof/>
          <w:color w:val="000000"/>
          <w:sz w:val="28"/>
          <w:szCs w:val="28"/>
        </w:rPr>
        <w:t xml:space="preserve">к їх застосування, </w:t>
      </w:r>
      <w:r w:rsidRPr="00C643B7">
        <w:rPr>
          <w:rFonts w:ascii="Times New Roman" w:eastAsia="Times New Roman" w:hAnsi="Times New Roman"/>
          <w:noProof/>
          <w:color w:val="000000"/>
          <w:sz w:val="28"/>
          <w:szCs w:val="28"/>
        </w:rPr>
        <w:t>що додаються.</w:t>
      </w:r>
    </w:p>
    <w:p w:rsidR="003B2A82" w:rsidRPr="00C643B7" w:rsidRDefault="003B2A82" w:rsidP="004646FD">
      <w:pPr>
        <w:shd w:val="clear" w:color="auto" w:fill="FFFFFF"/>
        <w:spacing w:after="0" w:line="240" w:lineRule="auto"/>
        <w:ind w:right="450" w:firstLine="709"/>
        <w:jc w:val="both"/>
        <w:rPr>
          <w:rFonts w:ascii="Times New Roman" w:eastAsia="Times New Roman" w:hAnsi="Times New Roman"/>
          <w:bCs/>
          <w:color w:val="000000"/>
          <w:sz w:val="28"/>
          <w:szCs w:val="28"/>
          <w:lang w:eastAsia="uk-UA"/>
        </w:rPr>
      </w:pPr>
    </w:p>
    <w:p w:rsidR="003B2A82" w:rsidRPr="00C643B7" w:rsidRDefault="00B3634E" w:rsidP="004646FD">
      <w:pPr>
        <w:spacing w:after="0" w:line="240" w:lineRule="auto"/>
        <w:ind w:firstLine="709"/>
        <w:jc w:val="both"/>
        <w:rPr>
          <w:rFonts w:ascii="Times New Roman" w:eastAsia="Times New Roman" w:hAnsi="Times New Roman"/>
          <w:sz w:val="28"/>
          <w:szCs w:val="28"/>
          <w:lang w:eastAsia="uk-UA"/>
        </w:rPr>
      </w:pPr>
      <w:bookmarkStart w:id="1" w:name="n15"/>
      <w:bookmarkStart w:id="2" w:name="n4"/>
      <w:bookmarkEnd w:id="1"/>
      <w:bookmarkEnd w:id="2"/>
      <w:r w:rsidRPr="00C643B7">
        <w:rPr>
          <w:rFonts w:ascii="Times New Roman" w:eastAsia="Times New Roman" w:hAnsi="Times New Roman"/>
          <w:sz w:val="28"/>
          <w:szCs w:val="28"/>
          <w:lang w:eastAsia="uk-UA"/>
        </w:rPr>
        <w:t>2</w:t>
      </w:r>
      <w:r w:rsidR="003B2A82" w:rsidRPr="00C643B7">
        <w:rPr>
          <w:rFonts w:ascii="Times New Roman" w:eastAsia="Times New Roman" w:hAnsi="Times New Roman"/>
          <w:sz w:val="28"/>
          <w:szCs w:val="28"/>
          <w:lang w:eastAsia="uk-UA"/>
        </w:rPr>
        <w:t xml:space="preserve">. Контроль за виконанням цієї постанови покласти на </w:t>
      </w:r>
      <w:r w:rsidR="00D77E6B" w:rsidRPr="00C643B7">
        <w:rPr>
          <w:rFonts w:ascii="Times New Roman" w:eastAsia="Times New Roman" w:hAnsi="Times New Roman"/>
          <w:sz w:val="28"/>
          <w:szCs w:val="28"/>
          <w:lang w:eastAsia="uk-UA"/>
        </w:rPr>
        <w:t>першого заступника Голови Національного банку України Катерину Рожкову та</w:t>
      </w:r>
      <w:r w:rsidR="003B2A82" w:rsidRPr="00C643B7">
        <w:rPr>
          <w:rFonts w:ascii="Times New Roman" w:eastAsia="Times New Roman" w:hAnsi="Times New Roman"/>
          <w:sz w:val="28"/>
          <w:szCs w:val="28"/>
          <w:lang w:eastAsia="uk-UA"/>
        </w:rPr>
        <w:t xml:space="preserve"> заступника Голови Національного банку України Дмитра Сологуба.</w:t>
      </w:r>
    </w:p>
    <w:p w:rsidR="003B2A82" w:rsidRPr="00C643B7" w:rsidRDefault="003B2A82" w:rsidP="004646FD">
      <w:pPr>
        <w:spacing w:after="0" w:line="240" w:lineRule="auto"/>
        <w:ind w:firstLine="709"/>
        <w:jc w:val="both"/>
        <w:rPr>
          <w:rFonts w:ascii="Times New Roman" w:eastAsia="Times New Roman" w:hAnsi="Times New Roman"/>
          <w:sz w:val="28"/>
          <w:szCs w:val="28"/>
          <w:lang w:eastAsia="uk-UA"/>
        </w:rPr>
      </w:pPr>
    </w:p>
    <w:p w:rsidR="003B2A82" w:rsidRPr="00C643B7" w:rsidRDefault="00B3634E" w:rsidP="004646FD">
      <w:pPr>
        <w:spacing w:after="0" w:line="240" w:lineRule="auto"/>
        <w:ind w:firstLine="709"/>
        <w:jc w:val="both"/>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w:t>
      </w:r>
      <w:r w:rsidR="003B2A82" w:rsidRPr="00C643B7">
        <w:rPr>
          <w:rFonts w:ascii="Times New Roman" w:eastAsia="Times New Roman" w:hAnsi="Times New Roman"/>
          <w:sz w:val="28"/>
          <w:szCs w:val="28"/>
          <w:lang w:eastAsia="uk-UA"/>
        </w:rPr>
        <w:t>. Постанова набирає чинності з дня, наступного за днем її офіційного опублікування.</w:t>
      </w:r>
    </w:p>
    <w:tbl>
      <w:tblPr>
        <w:tblW w:w="9747" w:type="dxa"/>
        <w:tblLook w:val="04A0" w:firstRow="1" w:lastRow="0" w:firstColumn="1" w:lastColumn="0" w:noHBand="0" w:noVBand="1"/>
      </w:tblPr>
      <w:tblGrid>
        <w:gridCol w:w="5495"/>
        <w:gridCol w:w="4252"/>
      </w:tblGrid>
      <w:tr w:rsidR="003B2A82" w:rsidRPr="00C643B7" w:rsidTr="003B2A82">
        <w:tc>
          <w:tcPr>
            <w:tcW w:w="5495" w:type="dxa"/>
            <w:vAlign w:val="bottom"/>
          </w:tcPr>
          <w:p w:rsidR="003B2A82" w:rsidRPr="00C643B7" w:rsidRDefault="003B2A82" w:rsidP="004646FD">
            <w:pPr>
              <w:spacing w:after="0" w:line="240" w:lineRule="auto"/>
              <w:jc w:val="both"/>
              <w:rPr>
                <w:rFonts w:ascii="Times New Roman" w:eastAsia="SimSun" w:hAnsi="Times New Roman"/>
                <w:sz w:val="28"/>
                <w:szCs w:val="28"/>
                <w:lang w:eastAsia="uk-UA"/>
              </w:rPr>
            </w:pPr>
          </w:p>
          <w:p w:rsidR="003B2A82" w:rsidRPr="00C643B7" w:rsidRDefault="003B2A82" w:rsidP="004646FD">
            <w:pPr>
              <w:spacing w:after="0" w:line="240" w:lineRule="auto"/>
              <w:jc w:val="both"/>
              <w:rPr>
                <w:rFonts w:ascii="Times New Roman" w:eastAsia="SimSun" w:hAnsi="Times New Roman"/>
                <w:sz w:val="28"/>
                <w:szCs w:val="28"/>
                <w:lang w:eastAsia="uk-UA"/>
              </w:rPr>
            </w:pPr>
            <w:r w:rsidRPr="00C643B7">
              <w:rPr>
                <w:rFonts w:ascii="Times New Roman" w:eastAsia="SimSun" w:hAnsi="Times New Roman"/>
                <w:sz w:val="28"/>
                <w:szCs w:val="28"/>
                <w:lang w:eastAsia="uk-UA"/>
              </w:rPr>
              <w:t xml:space="preserve">Голова                                                                                      </w:t>
            </w:r>
          </w:p>
        </w:tc>
        <w:tc>
          <w:tcPr>
            <w:tcW w:w="4252" w:type="dxa"/>
            <w:vAlign w:val="bottom"/>
          </w:tcPr>
          <w:p w:rsidR="003B2A82" w:rsidRPr="00C643B7" w:rsidRDefault="003B2A82" w:rsidP="004646FD">
            <w:pPr>
              <w:tabs>
                <w:tab w:val="left" w:pos="7020"/>
                <w:tab w:val="left" w:pos="7200"/>
              </w:tabs>
              <w:autoSpaceDE w:val="0"/>
              <w:autoSpaceDN w:val="0"/>
              <w:spacing w:after="0" w:line="240" w:lineRule="auto"/>
              <w:jc w:val="right"/>
              <w:rPr>
                <w:rFonts w:ascii="Times New Roman" w:eastAsia="SimSun" w:hAnsi="Times New Roman"/>
                <w:sz w:val="28"/>
                <w:szCs w:val="28"/>
                <w:lang w:eastAsia="uk-UA"/>
              </w:rPr>
            </w:pPr>
            <w:r w:rsidRPr="00C643B7">
              <w:rPr>
                <w:rFonts w:ascii="Times New Roman" w:eastAsia="SimSun" w:hAnsi="Times New Roman"/>
                <w:sz w:val="28"/>
                <w:szCs w:val="28"/>
                <w:lang w:eastAsia="uk-UA"/>
              </w:rPr>
              <w:t>Кирило ШЕВЧЕНКО</w:t>
            </w:r>
          </w:p>
        </w:tc>
      </w:tr>
    </w:tbl>
    <w:p w:rsidR="00D77E6B" w:rsidRPr="00C643B7" w:rsidRDefault="00D77E6B" w:rsidP="004646FD">
      <w:pPr>
        <w:spacing w:after="0" w:line="240" w:lineRule="auto"/>
        <w:rPr>
          <w:rFonts w:ascii="Times New Roman" w:eastAsia="SimSun" w:hAnsi="Times New Roman"/>
          <w:sz w:val="28"/>
          <w:szCs w:val="28"/>
          <w:lang w:eastAsia="uk-UA"/>
        </w:rPr>
      </w:pPr>
    </w:p>
    <w:p w:rsidR="003B2A82" w:rsidRPr="00C643B7" w:rsidRDefault="003B2A82" w:rsidP="004646FD">
      <w:pPr>
        <w:spacing w:after="0" w:line="240" w:lineRule="auto"/>
        <w:rPr>
          <w:rFonts w:ascii="Times New Roman" w:eastAsia="SimSun" w:hAnsi="Times New Roman"/>
          <w:sz w:val="28"/>
          <w:szCs w:val="28"/>
          <w:lang w:eastAsia="uk-UA"/>
        </w:rPr>
        <w:sectPr w:rsidR="003B2A82" w:rsidRPr="00C643B7" w:rsidSect="003B2A82">
          <w:headerReference w:type="default" r:id="rId9"/>
          <w:headerReference w:type="first" r:id="rId10"/>
          <w:pgSz w:w="11906" w:h="16838"/>
          <w:pgMar w:top="850" w:right="850" w:bottom="850" w:left="1417" w:header="708" w:footer="708" w:gutter="0"/>
          <w:cols w:space="708"/>
          <w:titlePg/>
          <w:docGrid w:linePitch="381"/>
        </w:sectPr>
      </w:pPr>
      <w:r w:rsidRPr="00C643B7">
        <w:rPr>
          <w:rFonts w:ascii="Times New Roman" w:eastAsia="SimSun" w:hAnsi="Times New Roman"/>
          <w:sz w:val="28"/>
          <w:szCs w:val="28"/>
          <w:lang w:eastAsia="uk-UA"/>
        </w:rPr>
        <w:t>Інд.</w:t>
      </w:r>
      <w:r w:rsidRPr="00C643B7">
        <w:rPr>
          <w:rFonts w:ascii="Times New Roman" w:eastAsia="SimSun" w:hAnsi="Times New Roman"/>
          <w:lang w:eastAsia="uk-UA"/>
        </w:rPr>
        <w:t xml:space="preserve"> </w:t>
      </w:r>
      <w:r w:rsidRPr="00C643B7">
        <w:rPr>
          <w:rFonts w:ascii="Times New Roman" w:eastAsia="SimSun" w:hAnsi="Times New Roman"/>
          <w:sz w:val="28"/>
          <w:szCs w:val="28"/>
          <w:lang w:eastAsia="uk-UA"/>
        </w:rPr>
        <w:t>33</w:t>
      </w:r>
    </w:p>
    <w:p w:rsidR="003B2A82" w:rsidRPr="00C643B7" w:rsidRDefault="003B2A82" w:rsidP="004646FD">
      <w:pPr>
        <w:spacing w:after="0" w:line="240" w:lineRule="auto"/>
        <w:ind w:left="5954"/>
        <w:jc w:val="both"/>
        <w:rPr>
          <w:rFonts w:ascii="Times New Roman" w:hAnsi="Times New Roman"/>
          <w:caps/>
          <w:sz w:val="28"/>
          <w:szCs w:val="28"/>
          <w:lang w:eastAsia="uk-UA"/>
        </w:rPr>
      </w:pPr>
      <w:r w:rsidRPr="00C643B7">
        <w:rPr>
          <w:rFonts w:ascii="Times New Roman" w:hAnsi="Times New Roman"/>
          <w:caps/>
          <w:sz w:val="28"/>
          <w:szCs w:val="28"/>
          <w:lang w:eastAsia="uk-UA"/>
        </w:rPr>
        <w:lastRenderedPageBreak/>
        <w:t>затверджено</w:t>
      </w:r>
    </w:p>
    <w:p w:rsidR="003B2A82" w:rsidRPr="00C643B7" w:rsidRDefault="003B2A82" w:rsidP="004646FD">
      <w:pPr>
        <w:spacing w:before="150" w:after="150" w:line="240" w:lineRule="auto"/>
        <w:ind w:left="5954"/>
        <w:rPr>
          <w:rFonts w:ascii="Times New Roman" w:eastAsia="Times New Roman" w:hAnsi="Times New Roman"/>
          <w:b/>
          <w:bCs/>
          <w:color w:val="000000"/>
          <w:sz w:val="28"/>
          <w:szCs w:val="28"/>
          <w:lang w:eastAsia="uk-UA"/>
        </w:rPr>
      </w:pPr>
      <w:r w:rsidRPr="00C643B7">
        <w:rPr>
          <w:rFonts w:ascii="Times New Roman" w:hAnsi="Times New Roman"/>
          <w:sz w:val="28"/>
          <w:szCs w:val="28"/>
          <w:lang w:eastAsia="uk-UA"/>
        </w:rPr>
        <w:t xml:space="preserve">Постанова Правління </w:t>
      </w:r>
      <w:r w:rsidRPr="00C643B7">
        <w:rPr>
          <w:rFonts w:ascii="Times New Roman" w:hAnsi="Times New Roman"/>
          <w:sz w:val="28"/>
          <w:szCs w:val="28"/>
          <w:lang w:eastAsia="uk-UA"/>
        </w:rPr>
        <w:br/>
        <w:t>Національного банку України</w:t>
      </w:r>
      <w:r w:rsidRPr="00C643B7">
        <w:rPr>
          <w:rFonts w:ascii="Times New Roman" w:hAnsi="Times New Roman"/>
          <w:sz w:val="28"/>
          <w:szCs w:val="28"/>
          <w:lang w:eastAsia="uk-UA"/>
        </w:rPr>
        <w:br/>
      </w:r>
    </w:p>
    <w:p w:rsidR="003B2A82" w:rsidRPr="00C643B7" w:rsidRDefault="00861638" w:rsidP="004646FD">
      <w:pPr>
        <w:keepNext/>
        <w:spacing w:after="0" w:line="240" w:lineRule="auto"/>
        <w:jc w:val="center"/>
        <w:outlineLvl w:val="2"/>
        <w:rPr>
          <w:rFonts w:ascii="Times New Roman" w:eastAsia="Times New Roman" w:hAnsi="Times New Roman"/>
          <w:bCs/>
          <w:color w:val="000000"/>
          <w:sz w:val="28"/>
          <w:szCs w:val="28"/>
          <w:lang w:eastAsia="uk-UA"/>
        </w:rPr>
      </w:pPr>
      <w:r w:rsidRPr="00C643B7">
        <w:rPr>
          <w:rFonts w:ascii="Times New Roman" w:eastAsia="Times New Roman" w:hAnsi="Times New Roman"/>
          <w:bCs/>
          <w:color w:val="000000"/>
          <w:sz w:val="28"/>
          <w:szCs w:val="28"/>
          <w:lang w:eastAsia="uk-UA"/>
        </w:rPr>
        <w:t>Положення про встановлення к</w:t>
      </w:r>
      <w:r w:rsidR="003B2A82" w:rsidRPr="00C643B7">
        <w:rPr>
          <w:rFonts w:ascii="Times New Roman" w:eastAsia="Times New Roman" w:hAnsi="Times New Roman"/>
          <w:bCs/>
          <w:color w:val="000000"/>
          <w:sz w:val="28"/>
          <w:szCs w:val="28"/>
          <w:lang w:eastAsia="uk-UA"/>
        </w:rPr>
        <w:t>ритерії</w:t>
      </w:r>
      <w:r w:rsidRPr="00C643B7">
        <w:rPr>
          <w:rFonts w:ascii="Times New Roman" w:eastAsia="Times New Roman" w:hAnsi="Times New Roman"/>
          <w:bCs/>
          <w:color w:val="000000"/>
          <w:sz w:val="28"/>
          <w:szCs w:val="28"/>
          <w:lang w:eastAsia="uk-UA"/>
        </w:rPr>
        <w:t>в</w:t>
      </w:r>
      <w:r w:rsidR="003B2A82" w:rsidRPr="00C643B7">
        <w:rPr>
          <w:rFonts w:ascii="Times New Roman" w:eastAsia="Times New Roman" w:hAnsi="Times New Roman"/>
          <w:bCs/>
          <w:color w:val="000000"/>
          <w:sz w:val="28"/>
          <w:szCs w:val="28"/>
          <w:lang w:eastAsia="uk-UA"/>
        </w:rPr>
        <w:t>,</w:t>
      </w:r>
    </w:p>
    <w:p w:rsidR="003B2A82" w:rsidRPr="00C643B7" w:rsidRDefault="003B2A82" w:rsidP="004646FD">
      <w:pPr>
        <w:keepNext/>
        <w:spacing w:after="0" w:line="240" w:lineRule="auto"/>
        <w:jc w:val="center"/>
        <w:outlineLvl w:val="2"/>
        <w:rPr>
          <w:rFonts w:ascii="Times New Roman" w:eastAsia="Times New Roman" w:hAnsi="Times New Roman"/>
          <w:b/>
          <w:bCs/>
          <w:color w:val="000000"/>
          <w:sz w:val="28"/>
          <w:szCs w:val="28"/>
          <w:lang w:eastAsia="uk-UA"/>
        </w:rPr>
      </w:pPr>
      <w:r w:rsidRPr="00C643B7">
        <w:rPr>
          <w:rFonts w:ascii="Times New Roman" w:eastAsia="Times New Roman" w:hAnsi="Times New Roman"/>
          <w:bCs/>
          <w:color w:val="000000"/>
          <w:sz w:val="28"/>
          <w:szCs w:val="28"/>
          <w:lang w:eastAsia="uk-UA"/>
        </w:rPr>
        <w:t>за якими оцінюється ступінь ризику від здійснення діяльності учасниками ринку небанківських фінансових послуг</w:t>
      </w:r>
      <w:r w:rsidR="004A7C7C" w:rsidRPr="00C643B7">
        <w:rPr>
          <w:rFonts w:ascii="Times New Roman" w:eastAsia="Times New Roman" w:hAnsi="Times New Roman"/>
          <w:bCs/>
          <w:color w:val="000000"/>
          <w:sz w:val="28"/>
          <w:szCs w:val="28"/>
          <w:lang w:eastAsia="uk-UA"/>
        </w:rPr>
        <w:t>,</w:t>
      </w:r>
      <w:r w:rsidRPr="00C643B7">
        <w:rPr>
          <w:rFonts w:ascii="Times New Roman" w:eastAsia="Times New Roman" w:hAnsi="Times New Roman"/>
          <w:bCs/>
          <w:color w:val="000000"/>
          <w:sz w:val="28"/>
          <w:szCs w:val="28"/>
          <w:lang w:eastAsia="uk-UA"/>
        </w:rPr>
        <w:t xml:space="preserve"> їх суспільну важливість, на підставі яких визначається періодичність проведення планових інспекційних перевірок</w:t>
      </w:r>
      <w:r w:rsidR="00861638" w:rsidRPr="00C643B7">
        <w:rPr>
          <w:rFonts w:ascii="Times New Roman" w:eastAsia="Times New Roman" w:hAnsi="Times New Roman"/>
          <w:bCs/>
          <w:color w:val="000000"/>
          <w:sz w:val="28"/>
          <w:szCs w:val="28"/>
          <w:lang w:eastAsia="uk-UA"/>
        </w:rPr>
        <w:t>, та поряд</w:t>
      </w:r>
      <w:r w:rsidR="004A7C7C" w:rsidRPr="00C643B7">
        <w:rPr>
          <w:rFonts w:ascii="Times New Roman" w:eastAsia="Times New Roman" w:hAnsi="Times New Roman"/>
          <w:bCs/>
          <w:color w:val="000000"/>
          <w:sz w:val="28"/>
          <w:szCs w:val="28"/>
          <w:lang w:eastAsia="uk-UA"/>
        </w:rPr>
        <w:t>о</w:t>
      </w:r>
      <w:r w:rsidR="00861638" w:rsidRPr="00C643B7">
        <w:rPr>
          <w:rFonts w:ascii="Times New Roman" w:eastAsia="Times New Roman" w:hAnsi="Times New Roman"/>
          <w:bCs/>
          <w:color w:val="000000"/>
          <w:sz w:val="28"/>
          <w:szCs w:val="28"/>
          <w:lang w:eastAsia="uk-UA"/>
        </w:rPr>
        <w:t>к їх застосування</w:t>
      </w:r>
    </w:p>
    <w:p w:rsidR="003B2A82" w:rsidRPr="00C643B7" w:rsidRDefault="003B2A82" w:rsidP="004646FD">
      <w:pPr>
        <w:keepNext/>
        <w:spacing w:after="0" w:line="240" w:lineRule="auto"/>
        <w:jc w:val="both"/>
        <w:outlineLvl w:val="2"/>
        <w:rPr>
          <w:rFonts w:ascii="Times New Roman" w:eastAsia="Times New Roman" w:hAnsi="Times New Roman"/>
          <w:b/>
          <w:bCs/>
          <w:color w:val="000000"/>
          <w:sz w:val="28"/>
          <w:szCs w:val="28"/>
          <w:lang w:eastAsia="uk-UA"/>
        </w:rPr>
      </w:pPr>
    </w:p>
    <w:p w:rsidR="003B2A82" w:rsidRPr="00C643B7" w:rsidRDefault="003B2A82" w:rsidP="004646FD">
      <w:pPr>
        <w:shd w:val="clear" w:color="auto" w:fill="FFFFFF"/>
        <w:spacing w:after="0" w:line="240" w:lineRule="auto"/>
        <w:ind w:firstLine="709"/>
        <w:jc w:val="center"/>
        <w:rPr>
          <w:rFonts w:ascii="Times New Roman" w:eastAsia="Times New Roman" w:hAnsi="Times New Roman"/>
          <w:bCs/>
          <w:color w:val="000000"/>
          <w:sz w:val="28"/>
          <w:szCs w:val="28"/>
          <w:lang w:eastAsia="uk-UA"/>
        </w:rPr>
      </w:pPr>
      <w:r w:rsidRPr="00C643B7">
        <w:rPr>
          <w:rFonts w:ascii="Times New Roman" w:eastAsia="Times New Roman" w:hAnsi="Times New Roman"/>
          <w:bCs/>
          <w:color w:val="000000"/>
          <w:sz w:val="28"/>
          <w:szCs w:val="28"/>
          <w:lang w:eastAsia="uk-UA"/>
        </w:rPr>
        <w:t>І. Загальні положення</w:t>
      </w:r>
    </w:p>
    <w:p w:rsidR="003B2A82" w:rsidRPr="00C643B7" w:rsidRDefault="003B2A82" w:rsidP="004646FD">
      <w:pPr>
        <w:shd w:val="clear" w:color="auto" w:fill="FFFFFF"/>
        <w:spacing w:after="0" w:line="240" w:lineRule="auto"/>
        <w:ind w:firstLine="709"/>
        <w:jc w:val="center"/>
        <w:rPr>
          <w:rFonts w:ascii="Times New Roman" w:eastAsia="Times New Roman" w:hAnsi="Times New Roman"/>
          <w:bCs/>
          <w:color w:val="000000"/>
          <w:sz w:val="28"/>
          <w:szCs w:val="28"/>
          <w:lang w:eastAsia="uk-UA"/>
        </w:rPr>
      </w:pPr>
    </w:p>
    <w:p w:rsidR="003B2A82" w:rsidRPr="00C643B7" w:rsidRDefault="003B2A82" w:rsidP="004646FD">
      <w:pPr>
        <w:keepNext/>
        <w:spacing w:after="0" w:line="240" w:lineRule="auto"/>
        <w:ind w:firstLine="709"/>
        <w:jc w:val="both"/>
        <w:outlineLvl w:val="2"/>
        <w:rPr>
          <w:rFonts w:ascii="Times New Roman" w:eastAsia="Times New Roman" w:hAnsi="Times New Roman"/>
          <w:bCs/>
          <w:color w:val="000000"/>
          <w:sz w:val="28"/>
          <w:szCs w:val="28"/>
          <w:lang w:eastAsia="uk-UA"/>
        </w:rPr>
      </w:pPr>
      <w:r w:rsidRPr="00C643B7">
        <w:rPr>
          <w:rFonts w:ascii="Times New Roman" w:eastAsia="Times New Roman" w:hAnsi="Times New Roman"/>
          <w:bCs/>
          <w:color w:val="000000"/>
          <w:sz w:val="28"/>
          <w:szCs w:val="28"/>
          <w:lang w:eastAsia="uk-UA"/>
        </w:rPr>
        <w:t xml:space="preserve">1. </w:t>
      </w:r>
      <w:r w:rsidR="001D4B1C" w:rsidRPr="00C643B7">
        <w:rPr>
          <w:rFonts w:ascii="Times New Roman" w:eastAsia="Times New Roman" w:hAnsi="Times New Roman"/>
          <w:bCs/>
          <w:color w:val="000000"/>
          <w:sz w:val="28"/>
          <w:szCs w:val="28"/>
          <w:lang w:eastAsia="uk-UA"/>
        </w:rPr>
        <w:t>Це Положення</w:t>
      </w:r>
      <w:r w:rsidR="00914DBD" w:rsidRPr="00C643B7">
        <w:rPr>
          <w:rFonts w:ascii="Times New Roman" w:eastAsia="Times New Roman" w:hAnsi="Times New Roman"/>
          <w:bCs/>
          <w:color w:val="000000"/>
          <w:sz w:val="28"/>
          <w:szCs w:val="28"/>
          <w:lang w:eastAsia="uk-UA"/>
        </w:rPr>
        <w:t xml:space="preserve"> </w:t>
      </w:r>
      <w:r w:rsidRPr="00C643B7">
        <w:rPr>
          <w:rFonts w:ascii="Times New Roman" w:eastAsia="Times New Roman" w:hAnsi="Times New Roman"/>
          <w:bCs/>
          <w:color w:val="000000"/>
          <w:sz w:val="28"/>
          <w:szCs w:val="28"/>
          <w:lang w:eastAsia="uk-UA"/>
        </w:rPr>
        <w:t>розроблен</w:t>
      </w:r>
      <w:r w:rsidR="001D4B1C" w:rsidRPr="00C643B7">
        <w:rPr>
          <w:rFonts w:ascii="Times New Roman" w:eastAsia="Times New Roman" w:hAnsi="Times New Roman"/>
          <w:bCs/>
          <w:color w:val="000000"/>
          <w:sz w:val="28"/>
          <w:szCs w:val="28"/>
          <w:lang w:eastAsia="uk-UA"/>
        </w:rPr>
        <w:t>о</w:t>
      </w:r>
      <w:r w:rsidRPr="00C643B7">
        <w:rPr>
          <w:rFonts w:ascii="Times New Roman" w:eastAsia="Times New Roman" w:hAnsi="Times New Roman"/>
          <w:bCs/>
          <w:color w:val="000000"/>
          <w:sz w:val="28"/>
          <w:szCs w:val="28"/>
          <w:lang w:eastAsia="uk-UA"/>
        </w:rPr>
        <w:t xml:space="preserve"> відповідно до </w:t>
      </w:r>
      <w:r w:rsidR="00C25DBF" w:rsidRPr="00C643B7">
        <w:rPr>
          <w:rFonts w:ascii="Times New Roman" w:hAnsi="Times New Roman"/>
          <w:bCs/>
          <w:color w:val="000000"/>
          <w:sz w:val="28"/>
          <w:szCs w:val="28"/>
        </w:rPr>
        <w:t>Законів України “Про Національний банк України”</w:t>
      </w:r>
      <w:r w:rsidR="00C25DBF" w:rsidRPr="00C643B7">
        <w:rPr>
          <w:rFonts w:ascii="Times New Roman" w:eastAsia="Times New Roman" w:hAnsi="Times New Roman"/>
          <w:bCs/>
          <w:color w:val="000000"/>
          <w:sz w:val="28"/>
          <w:szCs w:val="28"/>
          <w:lang w:eastAsia="uk-UA"/>
        </w:rPr>
        <w:t>,</w:t>
      </w:r>
      <w:r w:rsidRPr="00C643B7">
        <w:rPr>
          <w:rFonts w:ascii="Times New Roman" w:eastAsia="Times New Roman" w:hAnsi="Times New Roman"/>
          <w:bCs/>
          <w:color w:val="000000"/>
          <w:sz w:val="28"/>
          <w:szCs w:val="28"/>
          <w:lang w:eastAsia="uk-UA"/>
        </w:rPr>
        <w:t xml:space="preserve"> “Про фінансові послуги та державне регулювання ринків фінансових послуг” (далі ‒ Закон про фінансові послуги).</w:t>
      </w:r>
    </w:p>
    <w:p w:rsidR="003B2A82" w:rsidRPr="00C643B7" w:rsidRDefault="003B2A82" w:rsidP="004646FD">
      <w:pPr>
        <w:shd w:val="clear" w:color="auto" w:fill="FFFFFF"/>
        <w:spacing w:after="0" w:line="240" w:lineRule="auto"/>
        <w:ind w:firstLine="709"/>
        <w:jc w:val="both"/>
        <w:rPr>
          <w:rFonts w:ascii="Times New Roman" w:eastAsia="Times New Roman" w:hAnsi="Times New Roman"/>
          <w:bCs/>
          <w:color w:val="000000"/>
          <w:sz w:val="28"/>
          <w:szCs w:val="28"/>
          <w:lang w:eastAsia="uk-UA"/>
        </w:rPr>
      </w:pPr>
    </w:p>
    <w:p w:rsidR="00C80D3C" w:rsidRPr="00C643B7" w:rsidRDefault="003B2A82" w:rsidP="004646FD">
      <w:pPr>
        <w:shd w:val="clear" w:color="auto" w:fill="FFFFFF"/>
        <w:spacing w:after="0" w:line="240" w:lineRule="auto"/>
        <w:ind w:firstLine="709"/>
        <w:jc w:val="both"/>
        <w:rPr>
          <w:rFonts w:ascii="Times New Roman" w:eastAsia="Times New Roman" w:hAnsi="Times New Roman"/>
          <w:color w:val="000000"/>
          <w:sz w:val="28"/>
          <w:szCs w:val="28"/>
          <w:lang w:eastAsia="uk-UA"/>
        </w:rPr>
      </w:pPr>
      <w:r w:rsidRPr="00C643B7">
        <w:rPr>
          <w:rFonts w:ascii="Times New Roman" w:eastAsia="Times New Roman" w:hAnsi="Times New Roman"/>
          <w:bCs/>
          <w:color w:val="000000"/>
          <w:sz w:val="28"/>
          <w:szCs w:val="28"/>
          <w:lang w:eastAsia="uk-UA"/>
        </w:rPr>
        <w:t>2</w:t>
      </w:r>
      <w:r w:rsidR="00C80D3C" w:rsidRPr="00C643B7">
        <w:rPr>
          <w:rFonts w:ascii="Times New Roman" w:eastAsia="Times New Roman" w:hAnsi="Times New Roman"/>
          <w:bCs/>
          <w:color w:val="000000"/>
          <w:sz w:val="28"/>
          <w:szCs w:val="28"/>
          <w:lang w:eastAsia="uk-UA"/>
        </w:rPr>
        <w:t xml:space="preserve">. </w:t>
      </w:r>
      <w:r w:rsidR="001D4B1C" w:rsidRPr="00C643B7">
        <w:rPr>
          <w:rFonts w:ascii="Times New Roman" w:eastAsia="Times New Roman" w:hAnsi="Times New Roman"/>
          <w:bCs/>
          <w:color w:val="000000"/>
          <w:sz w:val="28"/>
          <w:szCs w:val="28"/>
          <w:lang w:eastAsia="uk-UA"/>
        </w:rPr>
        <w:t>Це положення визначає к</w:t>
      </w:r>
      <w:r w:rsidR="00C80D3C" w:rsidRPr="00C643B7">
        <w:rPr>
          <w:rFonts w:ascii="Times New Roman" w:eastAsia="Times New Roman" w:hAnsi="Times New Roman"/>
          <w:bCs/>
          <w:color w:val="000000"/>
          <w:sz w:val="28"/>
          <w:szCs w:val="28"/>
          <w:lang w:eastAsia="uk-UA"/>
        </w:rPr>
        <w:t>ритерії</w:t>
      </w:r>
      <w:r w:rsidR="001D4B1C" w:rsidRPr="00C643B7">
        <w:rPr>
          <w:rFonts w:ascii="Times New Roman" w:eastAsia="Times New Roman" w:hAnsi="Times New Roman"/>
          <w:bCs/>
          <w:color w:val="000000"/>
          <w:sz w:val="28"/>
          <w:szCs w:val="28"/>
          <w:lang w:eastAsia="uk-UA"/>
        </w:rPr>
        <w:t xml:space="preserve">, за якими </w:t>
      </w:r>
      <w:r w:rsidR="001D4B1C" w:rsidRPr="00C643B7">
        <w:rPr>
          <w:rFonts w:ascii="Times New Roman" w:eastAsia="Times New Roman" w:hAnsi="Times New Roman"/>
          <w:color w:val="000000"/>
          <w:sz w:val="28"/>
          <w:szCs w:val="28"/>
          <w:lang w:eastAsia="uk-UA"/>
        </w:rPr>
        <w:t xml:space="preserve">Національним банком України (далі ‒ Національний банк) </w:t>
      </w:r>
      <w:r w:rsidR="001D4B1C" w:rsidRPr="00C643B7">
        <w:rPr>
          <w:rFonts w:ascii="Times New Roman" w:eastAsia="Times New Roman" w:hAnsi="Times New Roman"/>
          <w:bCs/>
          <w:color w:val="000000"/>
          <w:sz w:val="28"/>
          <w:szCs w:val="28"/>
          <w:lang w:eastAsia="uk-UA"/>
        </w:rPr>
        <w:t xml:space="preserve">оцінюється ступінь ризику від здійснення діяльності учасниками ринку небанківських фінансових послуг </w:t>
      </w:r>
      <w:r w:rsidR="001D4B1C" w:rsidRPr="00C643B7">
        <w:rPr>
          <w:rFonts w:ascii="Times New Roman" w:eastAsia="Times New Roman" w:hAnsi="Times New Roman"/>
          <w:color w:val="000000"/>
          <w:sz w:val="28"/>
          <w:szCs w:val="28"/>
          <w:lang w:eastAsia="uk-UA"/>
        </w:rPr>
        <w:t>(далі ‒ оцінка ступеню ризику)</w:t>
      </w:r>
      <w:r w:rsidR="004A7C7C" w:rsidRPr="00C643B7">
        <w:rPr>
          <w:rFonts w:ascii="Times New Roman" w:eastAsia="Times New Roman" w:hAnsi="Times New Roman"/>
          <w:color w:val="000000"/>
          <w:sz w:val="28"/>
          <w:szCs w:val="28"/>
          <w:lang w:eastAsia="uk-UA"/>
        </w:rPr>
        <w:t>,</w:t>
      </w:r>
      <w:r w:rsidR="001D4B1C" w:rsidRPr="00C643B7">
        <w:rPr>
          <w:rFonts w:ascii="Times New Roman" w:eastAsia="Times New Roman" w:hAnsi="Times New Roman"/>
          <w:bCs/>
          <w:color w:val="000000"/>
          <w:sz w:val="28"/>
          <w:szCs w:val="28"/>
          <w:lang w:eastAsia="uk-UA"/>
        </w:rPr>
        <w:t xml:space="preserve"> їх суспільну важливість </w:t>
      </w:r>
      <w:r w:rsidR="001D4B1C" w:rsidRPr="00C643B7">
        <w:rPr>
          <w:rFonts w:ascii="Times New Roman" w:eastAsia="Times New Roman" w:hAnsi="Times New Roman"/>
          <w:color w:val="000000"/>
          <w:sz w:val="28"/>
          <w:szCs w:val="28"/>
          <w:lang w:eastAsia="uk-UA"/>
        </w:rPr>
        <w:t>(далі ‒ оцінка суспільної важливості)</w:t>
      </w:r>
      <w:r w:rsidR="001D4B1C" w:rsidRPr="00C643B7">
        <w:rPr>
          <w:rFonts w:ascii="Times New Roman" w:eastAsia="Times New Roman" w:hAnsi="Times New Roman"/>
          <w:bCs/>
          <w:color w:val="000000"/>
          <w:sz w:val="28"/>
          <w:szCs w:val="28"/>
          <w:lang w:eastAsia="uk-UA"/>
        </w:rPr>
        <w:t xml:space="preserve">, на підставі яких визначається періодичність проведення планових інспекційних перевірок </w:t>
      </w:r>
      <w:r w:rsidR="00D47144" w:rsidRPr="00C643B7">
        <w:rPr>
          <w:rFonts w:ascii="Times New Roman" w:eastAsia="Times New Roman" w:hAnsi="Times New Roman"/>
          <w:color w:val="000000"/>
          <w:sz w:val="28"/>
          <w:szCs w:val="28"/>
        </w:rPr>
        <w:t>учасників ринків небанківських фінансових послуг, регулювання і нагляд за якими здійснює Національний банк</w:t>
      </w:r>
      <w:r w:rsidR="001D4B1C" w:rsidRPr="00C643B7">
        <w:rPr>
          <w:rFonts w:ascii="Times New Roman" w:eastAsia="Times New Roman" w:hAnsi="Times New Roman"/>
          <w:color w:val="000000"/>
          <w:sz w:val="28"/>
          <w:szCs w:val="28"/>
        </w:rPr>
        <w:t>, та поряд</w:t>
      </w:r>
      <w:r w:rsidR="004A7C7C" w:rsidRPr="00C643B7">
        <w:rPr>
          <w:rFonts w:ascii="Times New Roman" w:eastAsia="Times New Roman" w:hAnsi="Times New Roman"/>
          <w:color w:val="000000"/>
          <w:sz w:val="28"/>
          <w:szCs w:val="28"/>
        </w:rPr>
        <w:t>о</w:t>
      </w:r>
      <w:r w:rsidR="001D4B1C" w:rsidRPr="00C643B7">
        <w:rPr>
          <w:rFonts w:ascii="Times New Roman" w:eastAsia="Times New Roman" w:hAnsi="Times New Roman"/>
          <w:color w:val="000000"/>
          <w:sz w:val="28"/>
          <w:szCs w:val="28"/>
        </w:rPr>
        <w:t>к їх застосування</w:t>
      </w:r>
      <w:r w:rsidR="00C80D3C" w:rsidRPr="00C643B7">
        <w:rPr>
          <w:rFonts w:ascii="Times New Roman" w:eastAsia="Times New Roman" w:hAnsi="Times New Roman"/>
          <w:color w:val="000000"/>
          <w:sz w:val="28"/>
          <w:szCs w:val="28"/>
          <w:lang w:eastAsia="uk-UA"/>
        </w:rPr>
        <w:t>.</w:t>
      </w:r>
    </w:p>
    <w:p w:rsidR="003B2A82" w:rsidRPr="00C643B7" w:rsidRDefault="003B2A82" w:rsidP="004646FD">
      <w:pPr>
        <w:shd w:val="clear" w:color="auto" w:fill="FFFFFF"/>
        <w:spacing w:after="0" w:line="240" w:lineRule="auto"/>
        <w:ind w:firstLine="709"/>
        <w:jc w:val="both"/>
        <w:rPr>
          <w:rFonts w:ascii="Times New Roman" w:eastAsia="Times New Roman" w:hAnsi="Times New Roman"/>
          <w:color w:val="000000"/>
          <w:sz w:val="28"/>
          <w:szCs w:val="28"/>
          <w:lang w:eastAsia="uk-UA"/>
        </w:rPr>
      </w:pPr>
    </w:p>
    <w:p w:rsidR="00914DBD" w:rsidRPr="00C643B7" w:rsidRDefault="003B2A82" w:rsidP="004646FD">
      <w:pPr>
        <w:spacing w:after="0" w:line="240" w:lineRule="auto"/>
        <w:ind w:firstLine="709"/>
        <w:jc w:val="both"/>
        <w:rPr>
          <w:rFonts w:ascii="Times New Roman" w:eastAsia="Times New Roman" w:hAnsi="Times New Roman"/>
          <w:color w:val="000000"/>
          <w:sz w:val="28"/>
          <w:szCs w:val="28"/>
          <w:lang w:eastAsia="uk-UA"/>
        </w:rPr>
      </w:pPr>
      <w:r w:rsidRPr="00C643B7">
        <w:rPr>
          <w:rFonts w:ascii="Times New Roman" w:eastAsia="Times New Roman" w:hAnsi="Times New Roman"/>
          <w:color w:val="000000"/>
          <w:sz w:val="28"/>
          <w:szCs w:val="28"/>
          <w:lang w:eastAsia="uk-UA"/>
        </w:rPr>
        <w:t>3</w:t>
      </w:r>
      <w:r w:rsidR="000D3C9F" w:rsidRPr="00C643B7">
        <w:rPr>
          <w:rFonts w:ascii="Times New Roman" w:eastAsia="Times New Roman" w:hAnsi="Times New Roman"/>
          <w:color w:val="000000"/>
          <w:sz w:val="28"/>
          <w:szCs w:val="28"/>
          <w:lang w:eastAsia="uk-UA"/>
        </w:rPr>
        <w:t xml:space="preserve">. </w:t>
      </w:r>
      <w:r w:rsidR="00C25DBF" w:rsidRPr="00C643B7">
        <w:rPr>
          <w:rFonts w:ascii="Times New Roman" w:eastAsia="Times New Roman" w:hAnsi="Times New Roman"/>
          <w:color w:val="000000"/>
          <w:sz w:val="28"/>
          <w:szCs w:val="28"/>
          <w:lang w:eastAsia="uk-UA"/>
        </w:rPr>
        <w:t>Національний банк п</w:t>
      </w:r>
      <w:r w:rsidR="000D3C9F" w:rsidRPr="00C643B7">
        <w:rPr>
          <w:rFonts w:ascii="Times New Roman" w:eastAsia="Times New Roman" w:hAnsi="Times New Roman"/>
          <w:color w:val="000000"/>
          <w:sz w:val="28"/>
          <w:szCs w:val="28"/>
          <w:lang w:eastAsia="uk-UA"/>
        </w:rPr>
        <w:t xml:space="preserve">ри оцінці ступеню ризику та </w:t>
      </w:r>
      <w:r w:rsidR="009D265B" w:rsidRPr="00C643B7">
        <w:rPr>
          <w:rFonts w:ascii="Times New Roman" w:eastAsia="Times New Roman" w:hAnsi="Times New Roman"/>
          <w:color w:val="000000"/>
          <w:sz w:val="28"/>
          <w:szCs w:val="28"/>
          <w:lang w:eastAsia="uk-UA"/>
        </w:rPr>
        <w:t>оцінці</w:t>
      </w:r>
      <w:r w:rsidR="000D3C9F" w:rsidRPr="00C643B7">
        <w:rPr>
          <w:rFonts w:ascii="Times New Roman" w:eastAsia="Times New Roman" w:hAnsi="Times New Roman"/>
          <w:color w:val="000000"/>
          <w:sz w:val="28"/>
          <w:szCs w:val="28"/>
          <w:lang w:eastAsia="uk-UA"/>
        </w:rPr>
        <w:t xml:space="preserve"> </w:t>
      </w:r>
      <w:r w:rsidR="00914DBD" w:rsidRPr="00C643B7">
        <w:rPr>
          <w:rFonts w:ascii="Times New Roman" w:eastAsia="Times New Roman" w:hAnsi="Times New Roman"/>
          <w:color w:val="000000"/>
          <w:sz w:val="28"/>
          <w:szCs w:val="28"/>
          <w:lang w:eastAsia="uk-UA"/>
        </w:rPr>
        <w:t xml:space="preserve">суспільної важливості </w:t>
      </w:r>
      <w:r w:rsidR="000D3C9F" w:rsidRPr="00C643B7">
        <w:rPr>
          <w:rFonts w:ascii="Times New Roman" w:eastAsia="Times New Roman" w:hAnsi="Times New Roman"/>
          <w:color w:val="000000"/>
          <w:sz w:val="28"/>
          <w:szCs w:val="28"/>
          <w:lang w:eastAsia="uk-UA"/>
        </w:rPr>
        <w:t xml:space="preserve">використовує ризик-орієнтований підхід та враховує принцип пропорційності щодо визначення інтенсивності наглядових дій (періодичності інспекційних перевірок), що передбачає фокусування нагляду на тих </w:t>
      </w:r>
      <w:r w:rsidR="008A051B" w:rsidRPr="00C643B7">
        <w:rPr>
          <w:rFonts w:ascii="Times New Roman" w:eastAsia="Times New Roman" w:hAnsi="Times New Roman"/>
          <w:color w:val="000000"/>
          <w:sz w:val="28"/>
          <w:szCs w:val="28"/>
          <w:lang w:eastAsia="uk-UA"/>
        </w:rPr>
        <w:t>учасниках ринку небанківських фінансових послуг (крім споживачів</w:t>
      </w:r>
      <w:r w:rsidR="00020687" w:rsidRPr="00C643B7">
        <w:rPr>
          <w:rFonts w:ascii="Times New Roman" w:eastAsia="Times New Roman" w:hAnsi="Times New Roman"/>
          <w:color w:val="000000"/>
          <w:sz w:val="28"/>
          <w:szCs w:val="28"/>
          <w:lang w:eastAsia="uk-UA"/>
        </w:rPr>
        <w:t xml:space="preserve"> фінансових послуг</w:t>
      </w:r>
      <w:r w:rsidR="008A051B" w:rsidRPr="00C643B7">
        <w:rPr>
          <w:rFonts w:ascii="Times New Roman" w:eastAsia="Times New Roman" w:hAnsi="Times New Roman"/>
          <w:color w:val="000000"/>
          <w:sz w:val="28"/>
          <w:szCs w:val="28"/>
          <w:lang w:eastAsia="uk-UA"/>
        </w:rPr>
        <w:t>)</w:t>
      </w:r>
      <w:r w:rsidR="000D3C9F" w:rsidRPr="00C643B7">
        <w:rPr>
          <w:rFonts w:ascii="Times New Roman" w:eastAsia="Times New Roman" w:hAnsi="Times New Roman"/>
          <w:color w:val="000000"/>
          <w:sz w:val="28"/>
          <w:szCs w:val="28"/>
          <w:lang w:eastAsia="uk-UA"/>
        </w:rPr>
        <w:t xml:space="preserve"> (далі </w:t>
      </w:r>
      <w:r w:rsidR="0034533B" w:rsidRPr="00C643B7">
        <w:rPr>
          <w:rFonts w:ascii="Times New Roman" w:eastAsia="Times New Roman" w:hAnsi="Times New Roman"/>
          <w:color w:val="000000"/>
          <w:sz w:val="28"/>
          <w:szCs w:val="28"/>
          <w:lang w:eastAsia="uk-UA"/>
        </w:rPr>
        <w:t>–</w:t>
      </w:r>
      <w:r w:rsidR="000D3C9F" w:rsidRPr="00C643B7">
        <w:rPr>
          <w:rFonts w:ascii="Times New Roman" w:eastAsia="Times New Roman" w:hAnsi="Times New Roman"/>
          <w:color w:val="000000"/>
          <w:sz w:val="28"/>
          <w:szCs w:val="28"/>
          <w:lang w:eastAsia="uk-UA"/>
        </w:rPr>
        <w:t xml:space="preserve"> </w:t>
      </w:r>
      <w:r w:rsidR="008A051B" w:rsidRPr="00C643B7">
        <w:rPr>
          <w:rFonts w:ascii="Times New Roman" w:eastAsia="Times New Roman" w:hAnsi="Times New Roman"/>
          <w:color w:val="000000"/>
          <w:sz w:val="28"/>
          <w:szCs w:val="28"/>
          <w:lang w:eastAsia="uk-UA"/>
        </w:rPr>
        <w:t>учасники</w:t>
      </w:r>
      <w:r w:rsidR="0034533B" w:rsidRPr="00C643B7">
        <w:rPr>
          <w:rFonts w:ascii="Times New Roman" w:eastAsia="Times New Roman" w:hAnsi="Times New Roman"/>
          <w:color w:val="000000"/>
          <w:sz w:val="28"/>
          <w:szCs w:val="28"/>
          <w:lang w:eastAsia="uk-UA"/>
        </w:rPr>
        <w:t xml:space="preserve"> ринку небанківських фінансових послуг</w:t>
      </w:r>
      <w:r w:rsidR="000D3C9F" w:rsidRPr="00C643B7">
        <w:rPr>
          <w:rFonts w:ascii="Times New Roman" w:eastAsia="Times New Roman" w:hAnsi="Times New Roman"/>
          <w:color w:val="000000"/>
          <w:sz w:val="28"/>
          <w:szCs w:val="28"/>
          <w:lang w:eastAsia="uk-UA"/>
        </w:rPr>
        <w:t>), які мають більший рівень суспільної важливості та вищий ступінь ризику від здійснення д</w:t>
      </w:r>
      <w:r w:rsidR="00914DBD" w:rsidRPr="00C643B7">
        <w:rPr>
          <w:rFonts w:ascii="Times New Roman" w:eastAsia="Times New Roman" w:hAnsi="Times New Roman"/>
          <w:color w:val="000000"/>
          <w:sz w:val="28"/>
          <w:szCs w:val="28"/>
          <w:lang w:eastAsia="uk-UA"/>
        </w:rPr>
        <w:t xml:space="preserve">іяльності. </w:t>
      </w:r>
    </w:p>
    <w:p w:rsidR="00914DBD" w:rsidRPr="00C643B7" w:rsidRDefault="00914DBD" w:rsidP="004646FD">
      <w:pPr>
        <w:spacing w:after="0" w:line="240" w:lineRule="auto"/>
        <w:ind w:firstLine="709"/>
        <w:jc w:val="both"/>
        <w:rPr>
          <w:rFonts w:ascii="Times New Roman" w:eastAsia="Times New Roman" w:hAnsi="Times New Roman"/>
          <w:color w:val="000000"/>
          <w:sz w:val="28"/>
          <w:szCs w:val="28"/>
          <w:lang w:eastAsia="uk-UA"/>
        </w:rPr>
      </w:pPr>
    </w:p>
    <w:p w:rsidR="003B2A82" w:rsidRPr="00C643B7" w:rsidRDefault="003B2A82" w:rsidP="004646FD">
      <w:pPr>
        <w:shd w:val="clear" w:color="auto" w:fill="FFFFFF"/>
        <w:spacing w:after="0" w:line="240" w:lineRule="auto"/>
        <w:ind w:firstLine="709"/>
        <w:jc w:val="both"/>
        <w:rPr>
          <w:rFonts w:ascii="Times New Roman" w:eastAsia="Times New Roman" w:hAnsi="Times New Roman"/>
          <w:bCs/>
          <w:color w:val="000000"/>
          <w:sz w:val="28"/>
          <w:szCs w:val="28"/>
        </w:rPr>
      </w:pPr>
      <w:r w:rsidRPr="00C643B7">
        <w:rPr>
          <w:rFonts w:ascii="Times New Roman" w:eastAsia="Times New Roman" w:hAnsi="Times New Roman"/>
          <w:color w:val="000000"/>
          <w:sz w:val="28"/>
          <w:szCs w:val="28"/>
          <w:lang w:eastAsia="uk-UA"/>
        </w:rPr>
        <w:t xml:space="preserve">4. </w:t>
      </w:r>
      <w:r w:rsidRPr="00C643B7">
        <w:rPr>
          <w:rFonts w:ascii="Times New Roman" w:eastAsia="Times New Roman" w:hAnsi="Times New Roman"/>
          <w:bCs/>
          <w:color w:val="000000"/>
          <w:sz w:val="28"/>
          <w:szCs w:val="28"/>
          <w:lang w:eastAsia="uk-UA"/>
        </w:rPr>
        <w:t xml:space="preserve">Терміни, які використовуються в </w:t>
      </w:r>
      <w:r w:rsidR="007E4B5C" w:rsidRPr="00C643B7">
        <w:rPr>
          <w:rFonts w:ascii="Times New Roman" w:eastAsia="Times New Roman" w:hAnsi="Times New Roman"/>
          <w:bCs/>
          <w:color w:val="000000"/>
          <w:sz w:val="28"/>
          <w:szCs w:val="28"/>
          <w:lang w:eastAsia="uk-UA"/>
        </w:rPr>
        <w:t>цьому Положенні</w:t>
      </w:r>
      <w:r w:rsidRPr="00C643B7">
        <w:rPr>
          <w:rFonts w:ascii="Times New Roman" w:eastAsia="Times New Roman" w:hAnsi="Times New Roman"/>
          <w:bCs/>
          <w:color w:val="000000"/>
          <w:sz w:val="28"/>
          <w:szCs w:val="28"/>
          <w:lang w:eastAsia="uk-UA"/>
        </w:rPr>
        <w:t xml:space="preserve">, уживаються в значеннях, визначених </w:t>
      </w:r>
      <w:r w:rsidR="00210377" w:rsidRPr="00C643B7">
        <w:rPr>
          <w:rFonts w:ascii="Times New Roman" w:hAnsi="Times New Roman"/>
          <w:bCs/>
          <w:color w:val="000000"/>
          <w:sz w:val="28"/>
          <w:szCs w:val="28"/>
        </w:rPr>
        <w:t xml:space="preserve">у Законі України “Про Національний банк України”, </w:t>
      </w:r>
      <w:hyperlink r:id="rId11" w:tgtFrame="_blank" w:history="1">
        <w:r w:rsidR="00210377" w:rsidRPr="00C643B7">
          <w:rPr>
            <w:rStyle w:val="af8"/>
            <w:rFonts w:ascii="Times New Roman" w:hAnsi="Times New Roman"/>
            <w:bCs/>
            <w:color w:val="000000"/>
            <w:sz w:val="28"/>
            <w:szCs w:val="28"/>
            <w:u w:val="none"/>
          </w:rPr>
          <w:t>Законі про фінансові</w:t>
        </w:r>
      </w:hyperlink>
      <w:r w:rsidR="00210377" w:rsidRPr="00C643B7">
        <w:rPr>
          <w:rFonts w:ascii="Times New Roman" w:hAnsi="Times New Roman"/>
          <w:bCs/>
          <w:color w:val="000000"/>
          <w:sz w:val="28"/>
          <w:szCs w:val="28"/>
        </w:rPr>
        <w:t xml:space="preserve"> послуги і нормативно-правових актах з питань регулювання ринків небанківських фінансових послуг.</w:t>
      </w:r>
    </w:p>
    <w:p w:rsidR="00210377" w:rsidRPr="00C643B7" w:rsidRDefault="00210377"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0D3C9F" w:rsidRPr="00C643B7" w:rsidRDefault="00060C20"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5</w:t>
      </w:r>
      <w:r w:rsidR="003B2A82" w:rsidRPr="00C643B7">
        <w:rPr>
          <w:rFonts w:ascii="Times New Roman" w:eastAsia="Times New Roman" w:hAnsi="Times New Roman"/>
          <w:iCs/>
          <w:color w:val="000000"/>
          <w:sz w:val="28"/>
          <w:szCs w:val="28"/>
          <w:shd w:val="clear" w:color="auto" w:fill="FFFFFF"/>
          <w:lang w:eastAsia="uk-UA"/>
        </w:rPr>
        <w:t xml:space="preserve">. </w:t>
      </w:r>
      <w:r w:rsidR="000D3C9F" w:rsidRPr="00C643B7">
        <w:rPr>
          <w:rFonts w:ascii="Times New Roman" w:eastAsia="Times New Roman" w:hAnsi="Times New Roman"/>
          <w:iCs/>
          <w:color w:val="000000"/>
          <w:sz w:val="28"/>
          <w:szCs w:val="28"/>
          <w:shd w:val="clear" w:color="auto" w:fill="FFFFFF"/>
          <w:lang w:eastAsia="uk-UA"/>
        </w:rPr>
        <w:t xml:space="preserve">Національний банк проводить оцінку ступеню ризику та </w:t>
      </w:r>
      <w:r w:rsidR="005F310F" w:rsidRPr="00C643B7">
        <w:rPr>
          <w:rFonts w:ascii="Times New Roman" w:eastAsia="Times New Roman" w:hAnsi="Times New Roman"/>
          <w:iCs/>
          <w:color w:val="000000"/>
          <w:sz w:val="28"/>
          <w:szCs w:val="28"/>
          <w:shd w:val="clear" w:color="auto" w:fill="FFFFFF"/>
          <w:lang w:eastAsia="uk-UA"/>
        </w:rPr>
        <w:t>оцінку</w:t>
      </w:r>
      <w:r w:rsidR="00914DBD" w:rsidRPr="00C643B7">
        <w:rPr>
          <w:rFonts w:ascii="Times New Roman" w:eastAsia="Times New Roman" w:hAnsi="Times New Roman"/>
          <w:iCs/>
          <w:color w:val="000000"/>
          <w:sz w:val="28"/>
          <w:szCs w:val="28"/>
          <w:shd w:val="clear" w:color="auto" w:fill="FFFFFF"/>
          <w:lang w:eastAsia="uk-UA"/>
        </w:rPr>
        <w:t xml:space="preserve"> суспільної важливості</w:t>
      </w:r>
      <w:r w:rsidR="000D3C9F" w:rsidRPr="00C643B7">
        <w:rPr>
          <w:rFonts w:ascii="Times New Roman" w:eastAsia="Times New Roman" w:hAnsi="Times New Roman"/>
          <w:iCs/>
          <w:color w:val="000000"/>
          <w:sz w:val="28"/>
          <w:szCs w:val="28"/>
          <w:shd w:val="clear" w:color="auto" w:fill="FFFFFF"/>
          <w:lang w:eastAsia="uk-UA"/>
        </w:rPr>
        <w:t xml:space="preserve"> учасників ринку небанківських фінансових послуг один раз на рік, не пізніше 1</w:t>
      </w:r>
      <w:r w:rsidR="009D633E" w:rsidRPr="00C643B7">
        <w:rPr>
          <w:rFonts w:ascii="Times New Roman" w:eastAsia="Times New Roman" w:hAnsi="Times New Roman"/>
          <w:iCs/>
          <w:color w:val="000000"/>
          <w:sz w:val="28"/>
          <w:szCs w:val="28"/>
          <w:shd w:val="clear" w:color="auto" w:fill="FFFFFF"/>
          <w:lang w:eastAsia="uk-UA"/>
        </w:rPr>
        <w:t>5</w:t>
      </w:r>
      <w:r w:rsidR="000D3C9F" w:rsidRPr="00C643B7">
        <w:rPr>
          <w:rFonts w:ascii="Times New Roman" w:eastAsia="Times New Roman" w:hAnsi="Times New Roman"/>
          <w:iCs/>
          <w:color w:val="000000"/>
          <w:sz w:val="28"/>
          <w:szCs w:val="28"/>
          <w:shd w:val="clear" w:color="auto" w:fill="FFFFFF"/>
          <w:lang w:eastAsia="uk-UA"/>
        </w:rPr>
        <w:t xml:space="preserve"> грудня року, в якому проводиться оцінка. Періодом оцінки є період з 1 жовтня року, що передує року проведення Національним банком оцінки по 30 вересня поточного року, в якому проводиться така оцінка. Датою оцінки є остання дата періоду оцінки.</w:t>
      </w:r>
    </w:p>
    <w:p w:rsidR="00B72A71" w:rsidRPr="00C643B7" w:rsidRDefault="00B72A71"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lastRenderedPageBreak/>
        <w:t xml:space="preserve">Період оцінки може бути </w:t>
      </w:r>
      <w:r w:rsidR="00D46B36" w:rsidRPr="00C643B7">
        <w:rPr>
          <w:rFonts w:ascii="Times New Roman" w:eastAsia="Times New Roman" w:hAnsi="Times New Roman"/>
          <w:iCs/>
          <w:color w:val="000000"/>
          <w:sz w:val="28"/>
          <w:szCs w:val="28"/>
          <w:shd w:val="clear" w:color="auto" w:fill="FFFFFF"/>
          <w:lang w:eastAsia="uk-UA"/>
        </w:rPr>
        <w:t xml:space="preserve">зменшений </w:t>
      </w:r>
      <w:r w:rsidRPr="00C643B7">
        <w:rPr>
          <w:rFonts w:ascii="Times New Roman" w:eastAsia="Times New Roman" w:hAnsi="Times New Roman"/>
          <w:iCs/>
          <w:color w:val="000000"/>
          <w:sz w:val="28"/>
          <w:szCs w:val="28"/>
          <w:shd w:val="clear" w:color="auto" w:fill="FFFFFF"/>
          <w:lang w:eastAsia="uk-UA"/>
        </w:rPr>
        <w:t>залежно від інформації</w:t>
      </w:r>
      <w:r w:rsidR="004E0EBA" w:rsidRPr="00C643B7">
        <w:rPr>
          <w:rFonts w:ascii="Times New Roman" w:eastAsia="Times New Roman" w:hAnsi="Times New Roman"/>
          <w:iCs/>
          <w:color w:val="000000"/>
          <w:sz w:val="28"/>
          <w:szCs w:val="28"/>
          <w:shd w:val="clear" w:color="auto" w:fill="FFFFFF"/>
          <w:lang w:eastAsia="uk-UA"/>
        </w:rPr>
        <w:t xml:space="preserve"> щодо учасників ринку небанківських фінансових послуг</w:t>
      </w:r>
      <w:r w:rsidR="00E86097" w:rsidRPr="00C643B7">
        <w:rPr>
          <w:rFonts w:ascii="Times New Roman" w:eastAsia="Times New Roman" w:hAnsi="Times New Roman"/>
          <w:iCs/>
          <w:color w:val="000000"/>
          <w:sz w:val="28"/>
          <w:szCs w:val="28"/>
          <w:shd w:val="clear" w:color="auto" w:fill="FFFFFF"/>
          <w:lang w:eastAsia="uk-UA"/>
        </w:rPr>
        <w:t>,</w:t>
      </w:r>
      <w:r w:rsidRPr="00C643B7">
        <w:rPr>
          <w:rFonts w:ascii="Times New Roman" w:eastAsia="Times New Roman" w:hAnsi="Times New Roman"/>
          <w:iCs/>
          <w:color w:val="000000"/>
          <w:sz w:val="28"/>
          <w:szCs w:val="28"/>
          <w:shd w:val="clear" w:color="auto" w:fill="FFFFFF"/>
          <w:lang w:eastAsia="uk-UA"/>
        </w:rPr>
        <w:t xml:space="preserve"> наявної у Національного банку.</w:t>
      </w:r>
    </w:p>
    <w:p w:rsidR="003B2A82" w:rsidRPr="00C643B7" w:rsidRDefault="003B2A82"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0D3C9F" w:rsidRPr="00C643B7" w:rsidRDefault="00060C20"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6</w:t>
      </w:r>
      <w:r w:rsidR="003B2A82" w:rsidRPr="00C643B7">
        <w:rPr>
          <w:rFonts w:ascii="Times New Roman" w:eastAsia="Times New Roman" w:hAnsi="Times New Roman"/>
          <w:iCs/>
          <w:color w:val="000000"/>
          <w:sz w:val="28"/>
          <w:szCs w:val="28"/>
          <w:shd w:val="clear" w:color="auto" w:fill="FFFFFF"/>
          <w:lang w:eastAsia="uk-UA"/>
        </w:rPr>
        <w:t xml:space="preserve">. </w:t>
      </w:r>
      <w:r w:rsidR="00C25DBF" w:rsidRPr="00C643B7">
        <w:rPr>
          <w:rFonts w:ascii="Times New Roman" w:eastAsia="Times New Roman" w:hAnsi="Times New Roman"/>
          <w:iCs/>
          <w:color w:val="000000"/>
          <w:sz w:val="28"/>
          <w:szCs w:val="28"/>
          <w:lang w:eastAsia="uk-UA"/>
        </w:rPr>
        <w:t>План проведення Національним банком інспекційних перевірок учасників ринку небанківських фінансо</w:t>
      </w:r>
      <w:r w:rsidR="00C25DBF" w:rsidRPr="00C643B7">
        <w:rPr>
          <w:rFonts w:ascii="Times New Roman" w:eastAsia="Times New Roman" w:hAnsi="Times New Roman"/>
          <w:iCs/>
          <w:color w:val="000000"/>
          <w:sz w:val="28"/>
          <w:szCs w:val="28"/>
          <w:shd w:val="clear" w:color="auto" w:fill="FFFFFF"/>
          <w:lang w:eastAsia="uk-UA"/>
        </w:rPr>
        <w:t xml:space="preserve">вих послуг на наступний рік </w:t>
      </w:r>
      <w:r w:rsidR="00C25DBF" w:rsidRPr="00C643B7">
        <w:rPr>
          <w:rFonts w:ascii="Times New Roman" w:eastAsia="Times New Roman" w:hAnsi="Times New Roman"/>
          <w:iCs/>
          <w:color w:val="000000"/>
          <w:sz w:val="28"/>
          <w:szCs w:val="28"/>
          <w:lang w:eastAsia="uk-UA"/>
        </w:rPr>
        <w:t>складається</w:t>
      </w:r>
      <w:r w:rsidR="00C25DBF" w:rsidRPr="00C643B7">
        <w:rPr>
          <w:rFonts w:ascii="Times New Roman" w:eastAsia="Times New Roman" w:hAnsi="Times New Roman"/>
          <w:iCs/>
          <w:color w:val="000000"/>
          <w:sz w:val="28"/>
          <w:szCs w:val="28"/>
          <w:shd w:val="clear" w:color="auto" w:fill="FFFFFF"/>
          <w:lang w:eastAsia="uk-UA"/>
        </w:rPr>
        <w:t xml:space="preserve"> н</w:t>
      </w:r>
      <w:r w:rsidR="000D3C9F" w:rsidRPr="00C643B7">
        <w:rPr>
          <w:rFonts w:ascii="Times New Roman" w:eastAsia="Times New Roman" w:hAnsi="Times New Roman"/>
          <w:iCs/>
          <w:color w:val="000000"/>
          <w:sz w:val="28"/>
          <w:szCs w:val="28"/>
          <w:shd w:val="clear" w:color="auto" w:fill="FFFFFF"/>
          <w:lang w:eastAsia="uk-UA"/>
        </w:rPr>
        <w:t xml:space="preserve">а основі результатів </w:t>
      </w:r>
      <w:r w:rsidRPr="00C643B7">
        <w:rPr>
          <w:rFonts w:ascii="Times New Roman" w:eastAsia="Times New Roman" w:hAnsi="Times New Roman"/>
          <w:iCs/>
          <w:color w:val="000000"/>
          <w:sz w:val="28"/>
          <w:szCs w:val="28"/>
          <w:shd w:val="clear" w:color="auto" w:fill="FFFFFF"/>
          <w:lang w:eastAsia="uk-UA"/>
        </w:rPr>
        <w:t xml:space="preserve">оцінки ступеню ризику та </w:t>
      </w:r>
      <w:r w:rsidR="000D3C9F" w:rsidRPr="00C643B7">
        <w:rPr>
          <w:rFonts w:ascii="Times New Roman" w:eastAsia="Times New Roman" w:hAnsi="Times New Roman"/>
          <w:iCs/>
          <w:color w:val="000000"/>
          <w:sz w:val="28"/>
          <w:szCs w:val="28"/>
          <w:shd w:val="clear" w:color="auto" w:fill="FFFFFF"/>
          <w:lang w:eastAsia="uk-UA"/>
        </w:rPr>
        <w:t>оцінки</w:t>
      </w:r>
      <w:r w:rsidR="00914DBD" w:rsidRPr="00C643B7">
        <w:rPr>
          <w:rFonts w:ascii="Times New Roman" w:eastAsia="Times New Roman" w:hAnsi="Times New Roman"/>
          <w:iCs/>
          <w:color w:val="000000"/>
          <w:sz w:val="28"/>
          <w:szCs w:val="28"/>
          <w:shd w:val="clear" w:color="auto" w:fill="FFFFFF"/>
          <w:lang w:eastAsia="uk-UA"/>
        </w:rPr>
        <w:t xml:space="preserve"> суспільної важливості</w:t>
      </w:r>
      <w:r w:rsidR="000D3C9F" w:rsidRPr="00C643B7">
        <w:rPr>
          <w:rFonts w:ascii="Times New Roman" w:eastAsia="Times New Roman" w:hAnsi="Times New Roman"/>
          <w:iCs/>
          <w:color w:val="000000"/>
          <w:sz w:val="28"/>
          <w:szCs w:val="28"/>
          <w:shd w:val="clear" w:color="auto" w:fill="FFFFFF"/>
          <w:lang w:eastAsia="uk-UA"/>
        </w:rPr>
        <w:t xml:space="preserve">, з урахуванням </w:t>
      </w:r>
      <w:r w:rsidR="000D3C9F" w:rsidRPr="00C643B7">
        <w:rPr>
          <w:rFonts w:ascii="Times New Roman" w:eastAsia="Times New Roman" w:hAnsi="Times New Roman"/>
          <w:sz w:val="28"/>
          <w:szCs w:val="24"/>
          <w:lang w:eastAsia="uk-UA"/>
        </w:rPr>
        <w:t>наявних наглядових ресурсів та пріоритетів</w:t>
      </w:r>
      <w:r w:rsidR="000D3C9F" w:rsidRPr="00C643B7">
        <w:rPr>
          <w:rFonts w:ascii="Times New Roman" w:eastAsia="Times New Roman" w:hAnsi="Times New Roman"/>
          <w:iCs/>
          <w:color w:val="000000"/>
          <w:sz w:val="28"/>
          <w:szCs w:val="28"/>
          <w:shd w:val="clear" w:color="auto" w:fill="FFFFFF"/>
          <w:lang w:eastAsia="uk-UA"/>
        </w:rPr>
        <w:t xml:space="preserve">. </w:t>
      </w:r>
    </w:p>
    <w:p w:rsidR="000D3C9F" w:rsidRPr="00C643B7" w:rsidRDefault="000D3C9F"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0D3C9F" w:rsidRPr="00C643B7" w:rsidRDefault="00060C20" w:rsidP="004646FD">
      <w:pPr>
        <w:shd w:val="clear" w:color="auto" w:fill="FFFFFF"/>
        <w:spacing w:after="0" w:line="240" w:lineRule="auto"/>
        <w:ind w:firstLine="709"/>
        <w:jc w:val="both"/>
        <w:rPr>
          <w:rFonts w:ascii="Times New Roman" w:eastAsia="Times New Roman" w:hAnsi="Times New Roman"/>
          <w:iCs/>
          <w:sz w:val="28"/>
          <w:szCs w:val="28"/>
          <w:shd w:val="clear" w:color="auto" w:fill="FFFFFF"/>
          <w:lang w:eastAsia="uk-UA"/>
        </w:rPr>
      </w:pPr>
      <w:r w:rsidRPr="00C643B7">
        <w:rPr>
          <w:rFonts w:ascii="Times New Roman" w:eastAsia="Times New Roman" w:hAnsi="Times New Roman"/>
          <w:iCs/>
          <w:sz w:val="28"/>
          <w:szCs w:val="28"/>
          <w:shd w:val="clear" w:color="auto" w:fill="FFFFFF"/>
          <w:lang w:eastAsia="uk-UA"/>
        </w:rPr>
        <w:t>7</w:t>
      </w:r>
      <w:r w:rsidR="000D3C9F" w:rsidRPr="00C643B7">
        <w:rPr>
          <w:rFonts w:ascii="Times New Roman" w:eastAsia="Times New Roman" w:hAnsi="Times New Roman"/>
          <w:iCs/>
          <w:sz w:val="28"/>
          <w:szCs w:val="28"/>
          <w:shd w:val="clear" w:color="auto" w:fill="FFFFFF"/>
          <w:lang w:eastAsia="uk-UA"/>
        </w:rPr>
        <w:t xml:space="preserve">. Національний банк, </w:t>
      </w:r>
      <w:r w:rsidR="000D3C9F" w:rsidRPr="00C643B7">
        <w:rPr>
          <w:rFonts w:ascii="Times New Roman" w:eastAsia="Times New Roman" w:hAnsi="Times New Roman"/>
          <w:sz w:val="28"/>
          <w:szCs w:val="28"/>
          <w:lang w:eastAsia="uk-UA"/>
        </w:rPr>
        <w:t xml:space="preserve">на основі ризик-орієнтованого підходу та враховуючи принцип пропорційності, </w:t>
      </w:r>
      <w:r w:rsidR="008A5225" w:rsidRPr="00C643B7">
        <w:rPr>
          <w:rFonts w:ascii="Times New Roman" w:eastAsia="Times New Roman" w:hAnsi="Times New Roman"/>
          <w:iCs/>
          <w:sz w:val="28"/>
          <w:szCs w:val="28"/>
          <w:shd w:val="clear" w:color="auto" w:fill="FFFFFF"/>
          <w:lang w:eastAsia="uk-UA"/>
        </w:rPr>
        <w:t xml:space="preserve">має право визначити </w:t>
      </w:r>
      <w:r w:rsidR="009814A1" w:rsidRPr="00C643B7">
        <w:rPr>
          <w:rFonts w:ascii="Times New Roman" w:eastAsia="Times New Roman" w:hAnsi="Times New Roman"/>
          <w:iCs/>
          <w:sz w:val="28"/>
          <w:szCs w:val="28"/>
          <w:shd w:val="clear" w:color="auto" w:fill="FFFFFF"/>
          <w:lang w:eastAsia="uk-UA"/>
        </w:rPr>
        <w:t>учасників ринку небанківських фінансових послуг</w:t>
      </w:r>
      <w:r w:rsidR="00C83CD5" w:rsidRPr="00C643B7">
        <w:rPr>
          <w:rFonts w:ascii="Times New Roman" w:eastAsia="Times New Roman" w:hAnsi="Times New Roman"/>
          <w:iCs/>
          <w:sz w:val="28"/>
          <w:szCs w:val="28"/>
          <w:shd w:val="clear" w:color="auto" w:fill="FFFFFF"/>
          <w:lang w:eastAsia="uk-UA"/>
        </w:rPr>
        <w:t>,</w:t>
      </w:r>
      <w:r w:rsidR="008A5225" w:rsidRPr="00C643B7">
        <w:rPr>
          <w:rFonts w:ascii="Times New Roman" w:eastAsia="Times New Roman" w:hAnsi="Times New Roman"/>
          <w:iCs/>
          <w:sz w:val="28"/>
          <w:szCs w:val="28"/>
          <w:shd w:val="clear" w:color="auto" w:fill="FFFFFF"/>
          <w:lang w:eastAsia="uk-UA"/>
        </w:rPr>
        <w:t xml:space="preserve"> </w:t>
      </w:r>
      <w:r w:rsidR="008A7A00" w:rsidRPr="00C643B7">
        <w:rPr>
          <w:rFonts w:ascii="Times New Roman" w:eastAsia="Times New Roman" w:hAnsi="Times New Roman"/>
          <w:iCs/>
          <w:sz w:val="28"/>
          <w:szCs w:val="28"/>
          <w:shd w:val="clear" w:color="auto" w:fill="FFFFFF"/>
          <w:lang w:eastAsia="uk-UA"/>
        </w:rPr>
        <w:t xml:space="preserve">яким не присвоюється </w:t>
      </w:r>
      <w:r w:rsidR="00717830" w:rsidRPr="00C643B7">
        <w:rPr>
          <w:rFonts w:ascii="Times New Roman" w:eastAsia="Times New Roman" w:hAnsi="Times New Roman"/>
          <w:iCs/>
          <w:sz w:val="28"/>
          <w:szCs w:val="28"/>
          <w:shd w:val="clear" w:color="auto" w:fill="FFFFFF"/>
          <w:lang w:eastAsia="uk-UA"/>
        </w:rPr>
        <w:t>група</w:t>
      </w:r>
      <w:r w:rsidR="008A7A00" w:rsidRPr="00C643B7">
        <w:rPr>
          <w:rFonts w:ascii="Times New Roman" w:eastAsia="Times New Roman" w:hAnsi="Times New Roman"/>
          <w:iCs/>
          <w:sz w:val="28"/>
          <w:szCs w:val="28"/>
          <w:shd w:val="clear" w:color="auto" w:fill="FFFFFF"/>
          <w:lang w:eastAsia="uk-UA"/>
        </w:rPr>
        <w:t xml:space="preserve"> суспільної важливості</w:t>
      </w:r>
      <w:r w:rsidR="000D3C9F" w:rsidRPr="00C643B7">
        <w:rPr>
          <w:rFonts w:ascii="Times New Roman" w:eastAsia="Times New Roman" w:hAnsi="Times New Roman"/>
          <w:iCs/>
          <w:sz w:val="28"/>
          <w:szCs w:val="28"/>
          <w:shd w:val="clear" w:color="auto" w:fill="FFFFFF"/>
          <w:lang w:eastAsia="uk-UA"/>
        </w:rPr>
        <w:t xml:space="preserve">. Такі </w:t>
      </w:r>
      <w:r w:rsidR="009814A1" w:rsidRPr="00C643B7">
        <w:rPr>
          <w:rFonts w:ascii="Times New Roman" w:eastAsia="Times New Roman" w:hAnsi="Times New Roman"/>
          <w:iCs/>
          <w:sz w:val="28"/>
          <w:szCs w:val="28"/>
          <w:shd w:val="clear" w:color="auto" w:fill="FFFFFF"/>
          <w:lang w:eastAsia="uk-UA"/>
        </w:rPr>
        <w:t>учасники</w:t>
      </w:r>
      <w:r w:rsidR="000D3C9F" w:rsidRPr="00C643B7">
        <w:rPr>
          <w:rFonts w:ascii="Times New Roman" w:eastAsia="Times New Roman" w:hAnsi="Times New Roman"/>
          <w:iCs/>
          <w:sz w:val="28"/>
          <w:szCs w:val="28"/>
          <w:shd w:val="clear" w:color="auto" w:fill="FFFFFF"/>
          <w:lang w:eastAsia="uk-UA"/>
        </w:rPr>
        <w:t xml:space="preserve"> не включаються до </w:t>
      </w:r>
      <w:r w:rsidR="000D3C9F" w:rsidRPr="00C643B7">
        <w:rPr>
          <w:rFonts w:ascii="Times New Roman" w:eastAsia="Times New Roman" w:hAnsi="Times New Roman"/>
          <w:iCs/>
          <w:sz w:val="28"/>
          <w:szCs w:val="28"/>
          <w:lang w:eastAsia="uk-UA"/>
        </w:rPr>
        <w:t>плану проведення Національним банком інспекційних перевірок</w:t>
      </w:r>
      <w:r w:rsidR="00251319" w:rsidRPr="00C643B7">
        <w:rPr>
          <w:rFonts w:ascii="Times New Roman" w:eastAsia="Times New Roman" w:hAnsi="Times New Roman"/>
          <w:iCs/>
          <w:sz w:val="28"/>
          <w:szCs w:val="28"/>
          <w:lang w:eastAsia="uk-UA"/>
        </w:rPr>
        <w:t>. Національний банк має право проводити позапланові інспекційні перевірки та/або здійснювати безвиїзний нагляд цих учасників</w:t>
      </w:r>
      <w:r w:rsidR="000D3C9F" w:rsidRPr="00C643B7">
        <w:rPr>
          <w:rFonts w:ascii="Times New Roman" w:eastAsia="Times New Roman" w:hAnsi="Times New Roman"/>
          <w:iCs/>
          <w:sz w:val="28"/>
          <w:szCs w:val="28"/>
          <w:shd w:val="clear" w:color="auto" w:fill="FFFFFF"/>
          <w:lang w:eastAsia="uk-UA"/>
        </w:rPr>
        <w:t xml:space="preserve">. </w:t>
      </w:r>
    </w:p>
    <w:p w:rsidR="00767D7E" w:rsidRPr="00C643B7" w:rsidRDefault="00767D7E" w:rsidP="004646FD">
      <w:pPr>
        <w:shd w:val="clear" w:color="auto" w:fill="FFFFFF"/>
        <w:spacing w:after="0" w:line="240" w:lineRule="auto"/>
        <w:ind w:firstLine="709"/>
        <w:jc w:val="center"/>
        <w:rPr>
          <w:rFonts w:ascii="Times New Roman" w:eastAsia="Times New Roman" w:hAnsi="Times New Roman"/>
          <w:iCs/>
          <w:color w:val="000000"/>
          <w:sz w:val="28"/>
          <w:szCs w:val="28"/>
          <w:shd w:val="clear" w:color="auto" w:fill="FFFFFF"/>
          <w:lang w:eastAsia="uk-UA"/>
        </w:rPr>
      </w:pPr>
    </w:p>
    <w:p w:rsidR="003B2A82" w:rsidRPr="00C643B7" w:rsidRDefault="003B2A82" w:rsidP="004646FD">
      <w:pPr>
        <w:shd w:val="clear" w:color="auto" w:fill="FFFFFF"/>
        <w:spacing w:after="0" w:line="240" w:lineRule="auto"/>
        <w:ind w:firstLine="709"/>
        <w:jc w:val="center"/>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ІІ. Критерії та порядок проведення оцінки ступеню ризику та визначення суспільної важливості учасника ринку небанківських фінансових послуг</w:t>
      </w:r>
    </w:p>
    <w:p w:rsidR="003B2A82" w:rsidRPr="00C643B7" w:rsidRDefault="003B2A82"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3B2A82" w:rsidRPr="00C643B7" w:rsidRDefault="006C04EA"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8</w:t>
      </w:r>
      <w:r w:rsidR="00D97DF9" w:rsidRPr="00C643B7">
        <w:rPr>
          <w:rFonts w:ascii="Times New Roman" w:eastAsia="Times New Roman" w:hAnsi="Times New Roman"/>
          <w:iCs/>
          <w:color w:val="000000"/>
          <w:sz w:val="28"/>
          <w:szCs w:val="28"/>
          <w:shd w:val="clear" w:color="auto" w:fill="FFFFFF"/>
          <w:lang w:eastAsia="uk-UA"/>
        </w:rPr>
        <w:t>.</w:t>
      </w:r>
      <w:r w:rsidR="003B2A82" w:rsidRPr="00C643B7">
        <w:rPr>
          <w:rFonts w:ascii="Times New Roman" w:eastAsia="Times New Roman" w:hAnsi="Times New Roman"/>
          <w:iCs/>
          <w:color w:val="000000"/>
          <w:sz w:val="28"/>
          <w:szCs w:val="28"/>
          <w:shd w:val="clear" w:color="auto" w:fill="FFFFFF"/>
          <w:lang w:eastAsia="uk-UA"/>
        </w:rPr>
        <w:t xml:space="preserve"> Критеріями оцінки ступеню ризику </w:t>
      </w:r>
      <w:r w:rsidR="003B2A82" w:rsidRPr="00C643B7">
        <w:rPr>
          <w:rFonts w:ascii="Times New Roman" w:eastAsia="Times New Roman" w:hAnsi="Times New Roman"/>
          <w:iCs/>
          <w:color w:val="000000"/>
          <w:sz w:val="28"/>
          <w:szCs w:val="24"/>
          <w:shd w:val="clear" w:color="auto" w:fill="FFFFFF"/>
          <w:lang w:eastAsia="uk-UA"/>
        </w:rPr>
        <w:t>учасника ринку небанківських фінансових послуг</w:t>
      </w:r>
      <w:r w:rsidR="003B2A82" w:rsidRPr="00C643B7">
        <w:rPr>
          <w:rFonts w:ascii="Times New Roman" w:eastAsia="Times New Roman" w:hAnsi="Times New Roman"/>
          <w:iCs/>
          <w:color w:val="000000"/>
          <w:sz w:val="28"/>
          <w:szCs w:val="28"/>
          <w:shd w:val="clear" w:color="auto" w:fill="FFFFFF"/>
          <w:lang w:eastAsia="uk-UA"/>
        </w:rPr>
        <w:t xml:space="preserve"> є:</w:t>
      </w:r>
    </w:p>
    <w:p w:rsidR="003B2A82" w:rsidRPr="00C643B7" w:rsidRDefault="003B2A82" w:rsidP="004646FD">
      <w:pPr>
        <w:shd w:val="clear" w:color="auto" w:fill="FFFFFF"/>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 xml:space="preserve">1) </w:t>
      </w:r>
      <w:r w:rsidR="00130FC6" w:rsidRPr="00C643B7">
        <w:rPr>
          <w:rFonts w:ascii="Times New Roman" w:eastAsia="Times New Roman" w:hAnsi="Times New Roman"/>
          <w:iCs/>
          <w:color w:val="000000"/>
          <w:sz w:val="28"/>
          <w:szCs w:val="28"/>
          <w:shd w:val="clear" w:color="auto" w:fill="FFFFFF"/>
          <w:lang w:eastAsia="uk-UA"/>
        </w:rPr>
        <w:t xml:space="preserve">стан </w:t>
      </w:r>
      <w:r w:rsidRPr="00C643B7">
        <w:rPr>
          <w:rFonts w:ascii="Times New Roman" w:eastAsia="Times New Roman" w:hAnsi="Times New Roman"/>
          <w:iCs/>
          <w:color w:val="000000"/>
          <w:sz w:val="28"/>
          <w:szCs w:val="28"/>
          <w:shd w:val="clear" w:color="auto" w:fill="FFFFFF"/>
          <w:lang w:eastAsia="uk-UA"/>
        </w:rPr>
        <w:t>корпоративн</w:t>
      </w:r>
      <w:r w:rsidR="00130FC6" w:rsidRPr="00C643B7">
        <w:rPr>
          <w:rFonts w:ascii="Times New Roman" w:eastAsia="Times New Roman" w:hAnsi="Times New Roman"/>
          <w:iCs/>
          <w:color w:val="000000"/>
          <w:sz w:val="28"/>
          <w:szCs w:val="28"/>
          <w:shd w:val="clear" w:color="auto" w:fill="FFFFFF"/>
          <w:lang w:eastAsia="uk-UA"/>
        </w:rPr>
        <w:t>ого</w:t>
      </w:r>
      <w:r w:rsidRPr="00C643B7">
        <w:rPr>
          <w:rFonts w:ascii="Times New Roman" w:eastAsia="Times New Roman" w:hAnsi="Times New Roman"/>
          <w:iCs/>
          <w:color w:val="000000"/>
          <w:sz w:val="28"/>
          <w:szCs w:val="28"/>
          <w:shd w:val="clear" w:color="auto" w:fill="FFFFFF"/>
          <w:lang w:eastAsia="uk-UA"/>
        </w:rPr>
        <w:t xml:space="preserve"> управління, управління ризиками та внутрішн</w:t>
      </w:r>
      <w:r w:rsidR="00130FC6" w:rsidRPr="00C643B7">
        <w:rPr>
          <w:rFonts w:ascii="Times New Roman" w:eastAsia="Times New Roman" w:hAnsi="Times New Roman"/>
          <w:iCs/>
          <w:color w:val="000000"/>
          <w:sz w:val="28"/>
          <w:szCs w:val="28"/>
          <w:shd w:val="clear" w:color="auto" w:fill="FFFFFF"/>
          <w:lang w:eastAsia="uk-UA"/>
        </w:rPr>
        <w:t>ього</w:t>
      </w:r>
      <w:r w:rsidRPr="00C643B7">
        <w:rPr>
          <w:rFonts w:ascii="Times New Roman" w:eastAsia="Times New Roman" w:hAnsi="Times New Roman"/>
          <w:iCs/>
          <w:color w:val="000000"/>
          <w:sz w:val="28"/>
          <w:szCs w:val="28"/>
          <w:shd w:val="clear" w:color="auto" w:fill="FFFFFF"/>
          <w:lang w:eastAsia="uk-UA"/>
        </w:rPr>
        <w:t xml:space="preserve"> контрол</w:t>
      </w:r>
      <w:r w:rsidR="00130FC6" w:rsidRPr="00C643B7">
        <w:rPr>
          <w:rFonts w:ascii="Times New Roman" w:eastAsia="Times New Roman" w:hAnsi="Times New Roman"/>
          <w:iCs/>
          <w:color w:val="000000"/>
          <w:sz w:val="28"/>
          <w:szCs w:val="28"/>
          <w:shd w:val="clear" w:color="auto" w:fill="FFFFFF"/>
          <w:lang w:eastAsia="uk-UA"/>
        </w:rPr>
        <w:t>ю</w:t>
      </w:r>
      <w:r w:rsidRPr="00C643B7">
        <w:rPr>
          <w:rFonts w:ascii="Times New Roman" w:eastAsia="Times New Roman" w:hAnsi="Times New Roman"/>
          <w:iCs/>
          <w:color w:val="000000"/>
          <w:sz w:val="28"/>
          <w:szCs w:val="28"/>
          <w:shd w:val="clear" w:color="auto" w:fill="FFFFFF"/>
          <w:lang w:eastAsia="uk-UA"/>
        </w:rPr>
        <w:t>;</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2) показники діяльності;</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3) 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r w:rsidRPr="00C643B7">
        <w:rPr>
          <w:rFonts w:ascii="Times New Roman" w:eastAsia="SimSun" w:hAnsi="Times New Roman"/>
          <w:color w:val="333333"/>
          <w:sz w:val="28"/>
          <w:szCs w:val="28"/>
          <w:shd w:val="clear" w:color="auto" w:fill="FFFFFF"/>
          <w:lang w:eastAsia="uk-UA"/>
        </w:rPr>
        <w:t xml:space="preserve"> </w:t>
      </w:r>
      <w:r w:rsidRPr="00C643B7">
        <w:rPr>
          <w:rFonts w:ascii="Times New Roman" w:eastAsia="Times New Roman" w:hAnsi="Times New Roman"/>
          <w:iCs/>
          <w:color w:val="000000"/>
          <w:sz w:val="28"/>
          <w:szCs w:val="28"/>
          <w:shd w:val="clear" w:color="auto" w:fill="FFFFFF"/>
          <w:lang w:eastAsia="uk-UA"/>
        </w:rPr>
        <w:t>що обмежують ризики за операціями з фінансовими активами</w:t>
      </w:r>
      <w:r w:rsidR="003F7C72" w:rsidRPr="00C643B7">
        <w:rPr>
          <w:rFonts w:ascii="Times New Roman" w:eastAsia="Times New Roman" w:hAnsi="Times New Roman"/>
          <w:iCs/>
          <w:color w:val="000000"/>
          <w:sz w:val="28"/>
          <w:szCs w:val="28"/>
          <w:shd w:val="clear" w:color="auto" w:fill="FFFFFF"/>
          <w:lang w:eastAsia="uk-UA"/>
        </w:rPr>
        <w:t>.</w:t>
      </w:r>
    </w:p>
    <w:p w:rsidR="003F7C72" w:rsidRPr="00C643B7" w:rsidRDefault="003F7C7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6C04EA"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9</w:t>
      </w:r>
      <w:r w:rsidR="003B2A82" w:rsidRPr="00C643B7">
        <w:rPr>
          <w:rFonts w:ascii="Times New Roman" w:eastAsia="Times New Roman" w:hAnsi="Times New Roman"/>
          <w:iCs/>
          <w:color w:val="000000"/>
          <w:sz w:val="28"/>
          <w:szCs w:val="28"/>
          <w:shd w:val="clear" w:color="auto" w:fill="FFFFFF"/>
          <w:lang w:eastAsia="uk-UA"/>
        </w:rPr>
        <w:t xml:space="preserve">. Кожен з критеріїв, зазначених в пункті </w:t>
      </w:r>
      <w:r w:rsidR="00806508" w:rsidRPr="00C643B7">
        <w:rPr>
          <w:rFonts w:ascii="Times New Roman" w:eastAsia="Times New Roman" w:hAnsi="Times New Roman"/>
          <w:iCs/>
          <w:color w:val="000000"/>
          <w:sz w:val="28"/>
          <w:szCs w:val="28"/>
          <w:shd w:val="clear" w:color="auto" w:fill="FFFFFF"/>
          <w:lang w:eastAsia="uk-UA"/>
        </w:rPr>
        <w:t>8</w:t>
      </w:r>
      <w:r w:rsidR="003B2A82" w:rsidRPr="00C643B7">
        <w:rPr>
          <w:rFonts w:ascii="Times New Roman" w:eastAsia="Times New Roman" w:hAnsi="Times New Roman"/>
          <w:iCs/>
          <w:color w:val="000000"/>
          <w:sz w:val="28"/>
          <w:szCs w:val="28"/>
          <w:shd w:val="clear" w:color="auto" w:fill="FFFFFF"/>
          <w:lang w:eastAsia="uk-UA"/>
        </w:rPr>
        <w:t xml:space="preserve"> розділу ІІ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003B2A82" w:rsidRPr="00C643B7">
        <w:rPr>
          <w:rFonts w:ascii="Times New Roman" w:eastAsia="Times New Roman" w:hAnsi="Times New Roman"/>
          <w:iCs/>
          <w:color w:val="000000"/>
          <w:sz w:val="28"/>
          <w:szCs w:val="28"/>
          <w:lang w:eastAsia="uk-UA"/>
        </w:rPr>
        <w:t xml:space="preserve">, оцінюється з використанням якісних та кількісних показників. Показники та їх вага в оцінці кожного з критеріїв </w:t>
      </w:r>
      <w:r w:rsidR="00805E40" w:rsidRPr="00C643B7">
        <w:rPr>
          <w:rFonts w:ascii="Times New Roman" w:eastAsia="Times New Roman" w:hAnsi="Times New Roman"/>
          <w:iCs/>
          <w:color w:val="000000"/>
          <w:sz w:val="28"/>
          <w:szCs w:val="28"/>
          <w:lang w:eastAsia="uk-UA"/>
        </w:rPr>
        <w:t>наведені</w:t>
      </w:r>
      <w:r w:rsidR="009D265B" w:rsidRPr="00C643B7">
        <w:rPr>
          <w:rFonts w:ascii="Times New Roman" w:eastAsia="Times New Roman" w:hAnsi="Times New Roman"/>
          <w:iCs/>
          <w:color w:val="000000"/>
          <w:sz w:val="28"/>
          <w:szCs w:val="28"/>
          <w:lang w:eastAsia="uk-UA"/>
        </w:rPr>
        <w:t xml:space="preserve"> </w:t>
      </w:r>
      <w:r w:rsidR="003B2A82" w:rsidRPr="00C643B7">
        <w:rPr>
          <w:rFonts w:ascii="Times New Roman" w:eastAsia="Times New Roman" w:hAnsi="Times New Roman"/>
          <w:iCs/>
          <w:color w:val="000000"/>
          <w:sz w:val="28"/>
          <w:szCs w:val="28"/>
          <w:lang w:eastAsia="uk-UA"/>
        </w:rPr>
        <w:t xml:space="preserve">в додатках 1 ‒ 3 до </w:t>
      </w:r>
      <w:r w:rsidR="007E4B5C" w:rsidRPr="00C643B7">
        <w:rPr>
          <w:rFonts w:ascii="Times New Roman" w:eastAsia="Times New Roman" w:hAnsi="Times New Roman"/>
          <w:iCs/>
          <w:color w:val="000000"/>
          <w:sz w:val="28"/>
          <w:szCs w:val="28"/>
          <w:lang w:eastAsia="uk-UA"/>
        </w:rPr>
        <w:t>цього Положення</w:t>
      </w:r>
      <w:r w:rsidR="00805E40" w:rsidRPr="00C643B7">
        <w:rPr>
          <w:rFonts w:ascii="Times New Roman" w:eastAsia="Times New Roman" w:hAnsi="Times New Roman"/>
          <w:iCs/>
          <w:color w:val="000000"/>
          <w:sz w:val="28"/>
          <w:szCs w:val="28"/>
          <w:lang w:eastAsia="uk-UA"/>
        </w:rPr>
        <w:t>,</w:t>
      </w:r>
      <w:r w:rsidR="003B2A82" w:rsidRPr="00C643B7">
        <w:rPr>
          <w:rFonts w:ascii="Times New Roman" w:eastAsia="Times New Roman" w:hAnsi="Times New Roman"/>
          <w:iCs/>
          <w:color w:val="000000"/>
          <w:sz w:val="28"/>
          <w:szCs w:val="28"/>
          <w:shd w:val="clear" w:color="auto" w:fill="FFFFFF"/>
          <w:lang w:eastAsia="uk-UA"/>
        </w:rPr>
        <w:t xml:space="preserve"> </w:t>
      </w:r>
      <w:r w:rsidR="009D265B" w:rsidRPr="00C643B7">
        <w:rPr>
          <w:rFonts w:ascii="Times New Roman" w:eastAsia="Times New Roman" w:hAnsi="Times New Roman"/>
          <w:iCs/>
          <w:color w:val="000000"/>
          <w:sz w:val="28"/>
          <w:szCs w:val="28"/>
          <w:shd w:val="clear" w:color="auto" w:fill="FFFFFF"/>
          <w:lang w:eastAsia="uk-UA"/>
        </w:rPr>
        <w:t xml:space="preserve">в залежності від виду учасника ринку небанківських фінансових послуг та особливостей </w:t>
      </w:r>
      <w:r w:rsidR="003F7C72" w:rsidRPr="00C643B7">
        <w:rPr>
          <w:rFonts w:ascii="Times New Roman" w:eastAsia="Times New Roman" w:hAnsi="Times New Roman"/>
          <w:iCs/>
          <w:color w:val="000000"/>
          <w:sz w:val="28"/>
          <w:szCs w:val="28"/>
          <w:shd w:val="clear" w:color="auto" w:fill="FFFFFF"/>
          <w:lang w:eastAsia="uk-UA"/>
        </w:rPr>
        <w:t xml:space="preserve">такого </w:t>
      </w:r>
      <w:r w:rsidR="009D265B" w:rsidRPr="00C643B7">
        <w:rPr>
          <w:rFonts w:ascii="Times New Roman" w:eastAsia="Times New Roman" w:hAnsi="Times New Roman"/>
          <w:iCs/>
          <w:color w:val="000000"/>
          <w:sz w:val="28"/>
          <w:szCs w:val="28"/>
          <w:shd w:val="clear" w:color="auto" w:fill="FFFFFF"/>
          <w:lang w:eastAsia="uk-UA"/>
        </w:rPr>
        <w:t>ринку</w:t>
      </w:r>
      <w:r w:rsidR="003B2A82" w:rsidRPr="00C643B7">
        <w:rPr>
          <w:rFonts w:ascii="Times New Roman" w:eastAsia="Times New Roman" w:hAnsi="Times New Roman"/>
          <w:iCs/>
          <w:color w:val="000000"/>
          <w:sz w:val="28"/>
          <w:szCs w:val="28"/>
          <w:shd w:val="clear" w:color="auto" w:fill="FFFFFF"/>
          <w:lang w:eastAsia="uk-UA"/>
        </w:rPr>
        <w:t>.</w:t>
      </w:r>
    </w:p>
    <w:p w:rsidR="003B2A82" w:rsidRPr="00C643B7" w:rsidRDefault="003B2A82" w:rsidP="004646FD">
      <w:pPr>
        <w:spacing w:after="0" w:line="240" w:lineRule="auto"/>
        <w:ind w:firstLine="851"/>
        <w:jc w:val="both"/>
        <w:rPr>
          <w:rFonts w:ascii="Times New Roman" w:eastAsia="Times New Roman" w:hAnsi="Times New Roman"/>
          <w:iCs/>
          <w:color w:val="000000"/>
          <w:sz w:val="28"/>
          <w:szCs w:val="28"/>
          <w:shd w:val="clear" w:color="auto" w:fill="FFFFFF"/>
          <w:lang w:eastAsia="uk-UA"/>
        </w:rPr>
      </w:pPr>
    </w:p>
    <w:p w:rsidR="003B2A82" w:rsidRPr="00C643B7" w:rsidRDefault="00D97DF9"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bookmarkStart w:id="3" w:name="n100"/>
      <w:bookmarkStart w:id="4" w:name="n101"/>
      <w:bookmarkStart w:id="5" w:name="n102"/>
      <w:bookmarkStart w:id="6" w:name="n103"/>
      <w:bookmarkStart w:id="7" w:name="n104"/>
      <w:bookmarkEnd w:id="3"/>
      <w:bookmarkEnd w:id="4"/>
      <w:bookmarkEnd w:id="5"/>
      <w:bookmarkEnd w:id="6"/>
      <w:bookmarkEnd w:id="7"/>
      <w:r w:rsidRPr="00C643B7">
        <w:rPr>
          <w:rFonts w:ascii="Times New Roman" w:eastAsia="Times New Roman" w:hAnsi="Times New Roman"/>
          <w:iCs/>
          <w:color w:val="000000"/>
          <w:sz w:val="28"/>
          <w:szCs w:val="28"/>
          <w:shd w:val="clear" w:color="auto" w:fill="FFFFFF"/>
          <w:lang w:eastAsia="uk-UA"/>
        </w:rPr>
        <w:t>1</w:t>
      </w:r>
      <w:r w:rsidR="006C04EA" w:rsidRPr="00C643B7">
        <w:rPr>
          <w:rFonts w:ascii="Times New Roman" w:eastAsia="Times New Roman" w:hAnsi="Times New Roman"/>
          <w:iCs/>
          <w:color w:val="000000"/>
          <w:sz w:val="28"/>
          <w:szCs w:val="28"/>
          <w:shd w:val="clear" w:color="auto" w:fill="FFFFFF"/>
          <w:lang w:eastAsia="uk-UA"/>
        </w:rPr>
        <w:t>0</w:t>
      </w:r>
      <w:r w:rsidR="003B2A82" w:rsidRPr="00C643B7">
        <w:rPr>
          <w:rFonts w:ascii="Times New Roman" w:eastAsia="Times New Roman" w:hAnsi="Times New Roman"/>
          <w:iCs/>
          <w:color w:val="000000"/>
          <w:sz w:val="28"/>
          <w:szCs w:val="28"/>
          <w:shd w:val="clear" w:color="auto" w:fill="FFFFFF"/>
          <w:lang w:eastAsia="uk-UA"/>
        </w:rPr>
        <w:t xml:space="preserve">. </w:t>
      </w:r>
      <w:r w:rsidR="00BC4073" w:rsidRPr="00C643B7">
        <w:rPr>
          <w:rFonts w:ascii="Times New Roman" w:eastAsia="Times New Roman" w:hAnsi="Times New Roman"/>
          <w:iCs/>
          <w:color w:val="000000"/>
          <w:sz w:val="28"/>
          <w:szCs w:val="28"/>
          <w:shd w:val="clear" w:color="auto" w:fill="FFFFFF"/>
          <w:lang w:eastAsia="uk-UA"/>
        </w:rPr>
        <w:t>Національний банк з</w:t>
      </w:r>
      <w:r w:rsidR="003B2A82" w:rsidRPr="00C643B7">
        <w:rPr>
          <w:rFonts w:ascii="Times New Roman" w:eastAsia="Times New Roman" w:hAnsi="Times New Roman"/>
          <w:iCs/>
          <w:color w:val="000000"/>
          <w:sz w:val="28"/>
          <w:szCs w:val="28"/>
          <w:shd w:val="clear" w:color="auto" w:fill="FFFFFF"/>
          <w:lang w:eastAsia="uk-UA"/>
        </w:rPr>
        <w:t>а результатами оцінки ступеню ризику за кожним з критеріїв присвоює бал від 1 до 4.</w:t>
      </w:r>
    </w:p>
    <w:p w:rsidR="006C04EA" w:rsidRPr="00C643B7" w:rsidRDefault="006C04EA"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767D7E" w:rsidRPr="00C643B7" w:rsidRDefault="006C04EA" w:rsidP="004646FD">
      <w:pPr>
        <w:spacing w:after="0" w:line="240" w:lineRule="auto"/>
        <w:ind w:firstLine="708"/>
        <w:jc w:val="both"/>
        <w:rPr>
          <w:rFonts w:ascii="Times New Roman" w:eastAsia="Times New Roman" w:hAnsi="Times New Roman"/>
          <w:iCs/>
          <w:color w:val="000000" w:themeColor="text1"/>
          <w:sz w:val="28"/>
          <w:szCs w:val="28"/>
          <w:shd w:val="clear" w:color="auto" w:fill="FFFFFF"/>
          <w:lang w:eastAsia="uk-UA"/>
        </w:rPr>
      </w:pPr>
      <w:r w:rsidRPr="00C643B7">
        <w:rPr>
          <w:rFonts w:ascii="Times New Roman" w:eastAsia="Times New Roman" w:hAnsi="Times New Roman"/>
          <w:iCs/>
          <w:sz w:val="28"/>
          <w:szCs w:val="28"/>
          <w:shd w:val="clear" w:color="auto" w:fill="FFFFFF"/>
          <w:lang w:eastAsia="uk-UA"/>
        </w:rPr>
        <w:t xml:space="preserve">11. Учаснику ринку небанківських фінансових послуг, який на дату оцінки не подав до Національного банку звітність у повному обсязі за останній звітний період, що входить до періоду оцінки, присвоюється ступінь ризику </w:t>
      </w:r>
      <w:r w:rsidR="00767D7E" w:rsidRPr="00C643B7">
        <w:rPr>
          <w:rFonts w:ascii="Times New Roman" w:eastAsia="Times New Roman" w:hAnsi="Times New Roman"/>
          <w:iCs/>
          <w:color w:val="000000"/>
          <w:sz w:val="28"/>
          <w:szCs w:val="28"/>
          <w:shd w:val="clear" w:color="auto" w:fill="FFFFFF"/>
          <w:lang w:eastAsia="uk-UA"/>
        </w:rPr>
        <w:t>“4”</w:t>
      </w:r>
      <w:r w:rsidRPr="00C643B7">
        <w:rPr>
          <w:rFonts w:ascii="Times New Roman" w:eastAsia="Times New Roman" w:hAnsi="Times New Roman"/>
          <w:iCs/>
          <w:sz w:val="28"/>
          <w:szCs w:val="28"/>
          <w:shd w:val="clear" w:color="auto" w:fill="FFFFFF"/>
          <w:lang w:eastAsia="uk-UA"/>
        </w:rPr>
        <w:t xml:space="preserve">. </w:t>
      </w:r>
      <w:r w:rsidR="00767D7E" w:rsidRPr="00C643B7">
        <w:rPr>
          <w:rFonts w:ascii="Times New Roman" w:eastAsia="Times New Roman" w:hAnsi="Times New Roman"/>
          <w:iCs/>
          <w:color w:val="000000" w:themeColor="text1"/>
          <w:sz w:val="28"/>
          <w:szCs w:val="28"/>
          <w:shd w:val="clear" w:color="auto" w:fill="FFFFFF"/>
          <w:lang w:eastAsia="uk-UA"/>
        </w:rPr>
        <w:lastRenderedPageBreak/>
        <w:t xml:space="preserve">Показнику присвоюється оціночний бал </w:t>
      </w:r>
      <w:r w:rsidR="00767D7E" w:rsidRPr="00C643B7">
        <w:rPr>
          <w:rFonts w:ascii="Times New Roman" w:eastAsia="Times New Roman" w:hAnsi="Times New Roman"/>
          <w:iCs/>
          <w:color w:val="000000"/>
          <w:sz w:val="28"/>
          <w:szCs w:val="28"/>
          <w:shd w:val="clear" w:color="auto" w:fill="FFFFFF"/>
          <w:lang w:eastAsia="uk-UA"/>
        </w:rPr>
        <w:t>“4”</w:t>
      </w:r>
      <w:r w:rsidR="00767D7E" w:rsidRPr="00C643B7">
        <w:rPr>
          <w:rFonts w:ascii="Times New Roman" w:eastAsia="Times New Roman" w:hAnsi="Times New Roman"/>
          <w:iCs/>
          <w:color w:val="000000" w:themeColor="text1"/>
          <w:sz w:val="28"/>
          <w:szCs w:val="28"/>
          <w:shd w:val="clear" w:color="auto" w:fill="FFFFFF"/>
          <w:lang w:eastAsia="uk-UA"/>
        </w:rPr>
        <w:t>, я</w:t>
      </w:r>
      <w:r w:rsidRPr="00C643B7">
        <w:rPr>
          <w:rFonts w:ascii="Times New Roman" w:eastAsia="Times New Roman" w:hAnsi="Times New Roman"/>
          <w:iCs/>
          <w:color w:val="000000" w:themeColor="text1"/>
          <w:sz w:val="28"/>
          <w:szCs w:val="28"/>
          <w:shd w:val="clear" w:color="auto" w:fill="FFFFFF"/>
          <w:lang w:eastAsia="uk-UA"/>
        </w:rPr>
        <w:t>кщо подана учасником звітність, та/або інші документи, передбачені до подання на періодичній основі, не дають можливості Національному банку провести розрахунки ступеню ризику за відповідним критерієм.</w:t>
      </w:r>
    </w:p>
    <w:p w:rsidR="006C04EA" w:rsidRPr="00C643B7" w:rsidRDefault="006C04EA" w:rsidP="004646FD">
      <w:pPr>
        <w:spacing w:after="0" w:line="240" w:lineRule="auto"/>
        <w:ind w:firstLine="708"/>
        <w:jc w:val="both"/>
        <w:rPr>
          <w:rFonts w:ascii="Times New Roman" w:eastAsia="Times New Roman" w:hAnsi="Times New Roman"/>
          <w:iCs/>
          <w:sz w:val="28"/>
          <w:szCs w:val="28"/>
          <w:shd w:val="clear" w:color="auto" w:fill="FFFFFF"/>
          <w:lang w:eastAsia="uk-UA"/>
        </w:rPr>
      </w:pPr>
      <w:r w:rsidRPr="00C643B7">
        <w:rPr>
          <w:rFonts w:ascii="Times New Roman" w:eastAsia="Times New Roman" w:hAnsi="Times New Roman"/>
          <w:iCs/>
          <w:sz w:val="28"/>
          <w:szCs w:val="28"/>
          <w:shd w:val="clear" w:color="auto" w:fill="FFFFFF"/>
          <w:lang w:eastAsia="uk-UA"/>
        </w:rPr>
        <w:t>Оцінка ступеню ризику проводиться учасникам ринку небанківських фінансових послуг, які, станом на дату проведення такої оцінки, мають діючу ліцензію на надання фінансових послуг відповідного виду.</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3B2A82"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1</w:t>
      </w:r>
      <w:r w:rsidR="00D97DF9" w:rsidRPr="00C643B7">
        <w:rPr>
          <w:rFonts w:ascii="Times New Roman" w:eastAsia="Times New Roman" w:hAnsi="Times New Roman"/>
          <w:iCs/>
          <w:color w:val="000000"/>
          <w:sz w:val="28"/>
          <w:szCs w:val="28"/>
          <w:shd w:val="clear" w:color="auto" w:fill="FFFFFF"/>
          <w:lang w:eastAsia="uk-UA"/>
        </w:rPr>
        <w:t>2</w:t>
      </w:r>
      <w:r w:rsidRPr="00C643B7">
        <w:rPr>
          <w:rFonts w:ascii="Times New Roman" w:eastAsia="Times New Roman" w:hAnsi="Times New Roman"/>
          <w:iCs/>
          <w:color w:val="000000"/>
          <w:sz w:val="28"/>
          <w:szCs w:val="28"/>
          <w:shd w:val="clear" w:color="auto" w:fill="FFFFFF"/>
          <w:lang w:eastAsia="uk-UA"/>
        </w:rPr>
        <w:t xml:space="preserve">. </w:t>
      </w:r>
      <w:r w:rsidR="00FF57E3" w:rsidRPr="00C643B7">
        <w:rPr>
          <w:rFonts w:ascii="Times New Roman" w:eastAsia="Times New Roman" w:hAnsi="Times New Roman"/>
          <w:iCs/>
          <w:color w:val="000000"/>
          <w:sz w:val="28"/>
          <w:szCs w:val="28"/>
          <w:shd w:val="clear" w:color="auto" w:fill="FFFFFF"/>
          <w:lang w:eastAsia="uk-UA"/>
        </w:rPr>
        <w:t xml:space="preserve">Національний банк під час оцінки ступеня ризику за критерієм, зазначеним у підпункті 1 пункту </w:t>
      </w:r>
      <w:r w:rsidR="00F90977" w:rsidRPr="00C643B7">
        <w:rPr>
          <w:rFonts w:ascii="Times New Roman" w:eastAsia="Times New Roman" w:hAnsi="Times New Roman"/>
          <w:iCs/>
          <w:color w:val="000000"/>
          <w:sz w:val="28"/>
          <w:szCs w:val="28"/>
          <w:shd w:val="clear" w:color="auto" w:fill="FFFFFF"/>
          <w:lang w:eastAsia="uk-UA"/>
        </w:rPr>
        <w:t>8</w:t>
      </w:r>
      <w:r w:rsidR="00FF57E3" w:rsidRPr="00C643B7">
        <w:rPr>
          <w:rFonts w:ascii="Times New Roman" w:eastAsia="Times New Roman" w:hAnsi="Times New Roman"/>
          <w:iCs/>
          <w:color w:val="000000"/>
          <w:sz w:val="28"/>
          <w:szCs w:val="28"/>
          <w:shd w:val="clear" w:color="auto" w:fill="FFFFFF"/>
          <w:lang w:eastAsia="uk-UA"/>
        </w:rPr>
        <w:t xml:space="preserve"> розділу ІІ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00FF57E3" w:rsidRPr="00C643B7">
        <w:rPr>
          <w:rFonts w:ascii="Times New Roman" w:eastAsia="Times New Roman" w:hAnsi="Times New Roman"/>
          <w:iCs/>
          <w:color w:val="000000"/>
          <w:sz w:val="28"/>
          <w:szCs w:val="28"/>
          <w:shd w:val="clear" w:color="auto" w:fill="FFFFFF"/>
          <w:lang w:eastAsia="uk-UA"/>
        </w:rPr>
        <w:t>, присвоює учаснику ринку небанківських фінансових послуг один з таких балів</w:t>
      </w:r>
      <w:r w:rsidR="00701AE2" w:rsidRPr="00C643B7">
        <w:rPr>
          <w:rFonts w:ascii="Times New Roman" w:eastAsia="Times New Roman" w:hAnsi="Times New Roman"/>
          <w:iCs/>
          <w:color w:val="000000"/>
          <w:sz w:val="28"/>
          <w:szCs w:val="28"/>
          <w:shd w:val="clear" w:color="auto" w:fill="FFFFFF"/>
          <w:lang w:eastAsia="uk-UA"/>
        </w:rPr>
        <w:t>,</w:t>
      </w:r>
      <w:r w:rsidR="00FF57E3" w:rsidRPr="00C643B7">
        <w:rPr>
          <w:rFonts w:ascii="Times New Roman" w:eastAsia="Times New Roman" w:hAnsi="Times New Roman"/>
          <w:iCs/>
          <w:color w:val="000000"/>
          <w:sz w:val="28"/>
          <w:szCs w:val="28"/>
          <w:shd w:val="clear" w:color="auto" w:fill="FFFFFF"/>
          <w:lang w:eastAsia="uk-UA"/>
        </w:rPr>
        <w:t xml:space="preserve"> якщо</w:t>
      </w:r>
      <w:r w:rsidRPr="00C643B7">
        <w:rPr>
          <w:rFonts w:ascii="Times New Roman" w:eastAsia="Times New Roman" w:hAnsi="Times New Roman"/>
          <w:iCs/>
          <w:color w:val="000000"/>
          <w:sz w:val="28"/>
          <w:szCs w:val="28"/>
          <w:shd w:val="clear" w:color="auto" w:fill="FFFFFF"/>
          <w:lang w:eastAsia="uk-UA"/>
        </w:rPr>
        <w:t>:</w:t>
      </w:r>
    </w:p>
    <w:p w:rsidR="003B2A82" w:rsidRPr="00C643B7" w:rsidRDefault="003B2A82"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9"/>
        </w:numPr>
        <w:spacing w:after="0" w:line="240" w:lineRule="auto"/>
        <w:ind w:left="0" w:firstLine="709"/>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1” ‒ корпоративне управління, управління ризиками та внутрішні контролі створюють низький ступінь ризику;</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9"/>
        </w:numPr>
        <w:spacing w:after="0" w:line="240" w:lineRule="auto"/>
        <w:ind w:left="0" w:firstLine="708"/>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2” ‒ недоліки корпоративного управління, управління ризиками та внутрішнього контролю створюють середній ступінь ризику;</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9"/>
        </w:numPr>
        <w:spacing w:after="0" w:line="240" w:lineRule="auto"/>
        <w:ind w:left="0" w:firstLine="708"/>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3” ‒ недоліки корпоративного управління, управління ризиками та внутрішнього контролю створюють високий ступінь ризику;</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9"/>
        </w:numPr>
        <w:spacing w:after="0" w:line="240" w:lineRule="auto"/>
        <w:ind w:left="0" w:firstLine="708"/>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4” ‒ недоліки корпоративного управління, управління ризиками та внутрішнього контролю створюють критичний ступінь ризику.</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3B2A82"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1</w:t>
      </w:r>
      <w:r w:rsidR="00D97DF9" w:rsidRPr="00C643B7">
        <w:rPr>
          <w:rFonts w:ascii="Times New Roman" w:eastAsia="Times New Roman" w:hAnsi="Times New Roman"/>
          <w:iCs/>
          <w:color w:val="000000"/>
          <w:sz w:val="28"/>
          <w:szCs w:val="28"/>
          <w:shd w:val="clear" w:color="auto" w:fill="FFFFFF"/>
          <w:lang w:eastAsia="uk-UA"/>
        </w:rPr>
        <w:t>3</w:t>
      </w:r>
      <w:r w:rsidRPr="00C643B7">
        <w:rPr>
          <w:rFonts w:ascii="Times New Roman" w:eastAsia="Times New Roman" w:hAnsi="Times New Roman"/>
          <w:iCs/>
          <w:color w:val="000000"/>
          <w:sz w:val="28"/>
          <w:szCs w:val="28"/>
          <w:shd w:val="clear" w:color="auto" w:fill="FFFFFF"/>
          <w:lang w:eastAsia="uk-UA"/>
        </w:rPr>
        <w:t xml:space="preserve">. </w:t>
      </w:r>
      <w:r w:rsidR="00FF57E3" w:rsidRPr="00C643B7">
        <w:rPr>
          <w:rFonts w:ascii="Times New Roman" w:eastAsia="Times New Roman" w:hAnsi="Times New Roman"/>
          <w:iCs/>
          <w:color w:val="000000"/>
          <w:sz w:val="28"/>
          <w:szCs w:val="28"/>
          <w:shd w:val="clear" w:color="auto" w:fill="FFFFFF"/>
          <w:lang w:eastAsia="uk-UA"/>
        </w:rPr>
        <w:t xml:space="preserve">Національний банк під час оцінки ступеня ризику за критерієм, зазначеним у підпункті 2 пункту </w:t>
      </w:r>
      <w:r w:rsidR="00F90977" w:rsidRPr="00C643B7">
        <w:rPr>
          <w:rFonts w:ascii="Times New Roman" w:eastAsia="Times New Roman" w:hAnsi="Times New Roman"/>
          <w:iCs/>
          <w:color w:val="000000"/>
          <w:sz w:val="28"/>
          <w:szCs w:val="28"/>
          <w:shd w:val="clear" w:color="auto" w:fill="FFFFFF"/>
          <w:lang w:eastAsia="uk-UA"/>
        </w:rPr>
        <w:t>8</w:t>
      </w:r>
      <w:r w:rsidR="00FF57E3" w:rsidRPr="00C643B7">
        <w:rPr>
          <w:rFonts w:ascii="Times New Roman" w:eastAsia="Times New Roman" w:hAnsi="Times New Roman"/>
          <w:iCs/>
          <w:color w:val="000000"/>
          <w:sz w:val="28"/>
          <w:szCs w:val="28"/>
          <w:shd w:val="clear" w:color="auto" w:fill="FFFFFF"/>
          <w:lang w:eastAsia="uk-UA"/>
        </w:rPr>
        <w:t xml:space="preserve"> розділу ІІ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00FF57E3" w:rsidRPr="00C643B7">
        <w:rPr>
          <w:rFonts w:ascii="Times New Roman" w:eastAsia="Times New Roman" w:hAnsi="Times New Roman"/>
          <w:iCs/>
          <w:color w:val="000000"/>
          <w:sz w:val="28"/>
          <w:szCs w:val="28"/>
          <w:shd w:val="clear" w:color="auto" w:fill="FFFFFF"/>
          <w:lang w:eastAsia="uk-UA"/>
        </w:rPr>
        <w:t>, присвоює учаснику ринку небанківських фінансових послуг один з таких балів</w:t>
      </w:r>
      <w:r w:rsidR="00E572F0" w:rsidRPr="00C643B7">
        <w:rPr>
          <w:rFonts w:ascii="Times New Roman" w:eastAsia="Times New Roman" w:hAnsi="Times New Roman"/>
          <w:iCs/>
          <w:color w:val="000000"/>
          <w:sz w:val="28"/>
          <w:szCs w:val="28"/>
          <w:shd w:val="clear" w:color="auto" w:fill="FFFFFF"/>
          <w:lang w:eastAsia="uk-UA"/>
        </w:rPr>
        <w:t>,</w:t>
      </w:r>
      <w:r w:rsidR="00FF57E3" w:rsidRPr="00C643B7">
        <w:rPr>
          <w:rFonts w:ascii="Times New Roman" w:eastAsia="Times New Roman" w:hAnsi="Times New Roman"/>
          <w:iCs/>
          <w:color w:val="000000"/>
          <w:sz w:val="28"/>
          <w:szCs w:val="28"/>
          <w:shd w:val="clear" w:color="auto" w:fill="FFFFFF"/>
          <w:lang w:eastAsia="uk-UA"/>
        </w:rPr>
        <w:t xml:space="preserve"> якщо</w:t>
      </w:r>
      <w:r w:rsidRPr="00C643B7">
        <w:rPr>
          <w:rFonts w:ascii="Times New Roman" w:eastAsia="Times New Roman" w:hAnsi="Times New Roman"/>
          <w:iCs/>
          <w:color w:val="000000"/>
          <w:sz w:val="28"/>
          <w:szCs w:val="28"/>
          <w:shd w:val="clear" w:color="auto" w:fill="FFFFFF"/>
          <w:lang w:eastAsia="uk-UA"/>
        </w:rPr>
        <w:t>:</w:t>
      </w:r>
    </w:p>
    <w:p w:rsidR="003B2A82" w:rsidRPr="00C643B7" w:rsidRDefault="003B2A82"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10"/>
        </w:numPr>
        <w:spacing w:after="0" w:line="240" w:lineRule="auto"/>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 xml:space="preserve">1” ‒ </w:t>
      </w:r>
      <w:r w:rsidR="00E572F0" w:rsidRPr="00C643B7">
        <w:rPr>
          <w:rFonts w:ascii="Times New Roman" w:eastAsia="Times New Roman" w:hAnsi="Times New Roman"/>
          <w:iCs/>
          <w:color w:val="000000"/>
          <w:sz w:val="28"/>
          <w:szCs w:val="28"/>
          <w:shd w:val="clear" w:color="auto" w:fill="FFFFFF"/>
          <w:lang w:val="uk-UA" w:eastAsia="uk-UA"/>
        </w:rPr>
        <w:t xml:space="preserve">показники </w:t>
      </w:r>
      <w:r w:rsidR="003B2A82" w:rsidRPr="00C643B7">
        <w:rPr>
          <w:rFonts w:ascii="Times New Roman" w:eastAsia="Times New Roman" w:hAnsi="Times New Roman"/>
          <w:iCs/>
          <w:color w:val="000000"/>
          <w:sz w:val="28"/>
          <w:szCs w:val="28"/>
          <w:shd w:val="clear" w:color="auto" w:fill="FFFFFF"/>
          <w:lang w:val="uk-UA" w:eastAsia="uk-UA"/>
        </w:rPr>
        <w:t>діяльн</w:t>
      </w:r>
      <w:r w:rsidR="006529F6" w:rsidRPr="00C643B7">
        <w:rPr>
          <w:rFonts w:ascii="Times New Roman" w:eastAsia="Times New Roman" w:hAnsi="Times New Roman"/>
          <w:iCs/>
          <w:color w:val="000000"/>
          <w:sz w:val="28"/>
          <w:szCs w:val="28"/>
          <w:shd w:val="clear" w:color="auto" w:fill="FFFFFF"/>
          <w:lang w:val="uk-UA" w:eastAsia="uk-UA"/>
        </w:rPr>
        <w:t>ості</w:t>
      </w:r>
      <w:r w:rsidR="003B2A82" w:rsidRPr="00C643B7">
        <w:rPr>
          <w:rFonts w:ascii="Times New Roman" w:eastAsia="Times New Roman" w:hAnsi="Times New Roman"/>
          <w:iCs/>
          <w:color w:val="000000"/>
          <w:sz w:val="28"/>
          <w:szCs w:val="28"/>
          <w:shd w:val="clear" w:color="auto" w:fill="FFFFFF"/>
          <w:lang w:val="uk-UA" w:eastAsia="uk-UA"/>
        </w:rPr>
        <w:t xml:space="preserve"> </w:t>
      </w:r>
      <w:r w:rsidR="00F90977" w:rsidRPr="00C643B7">
        <w:rPr>
          <w:rFonts w:ascii="Times New Roman" w:eastAsia="Times New Roman" w:hAnsi="Times New Roman"/>
          <w:iCs/>
          <w:color w:val="000000"/>
          <w:sz w:val="28"/>
          <w:szCs w:val="28"/>
          <w:shd w:val="clear" w:color="auto" w:fill="FFFFFF"/>
          <w:lang w:val="uk-UA" w:eastAsia="uk-UA"/>
        </w:rPr>
        <w:t xml:space="preserve">створюють </w:t>
      </w:r>
      <w:r w:rsidR="003B2A82" w:rsidRPr="00C643B7">
        <w:rPr>
          <w:rFonts w:ascii="Times New Roman" w:eastAsia="Times New Roman" w:hAnsi="Times New Roman"/>
          <w:iCs/>
          <w:color w:val="000000"/>
          <w:sz w:val="28"/>
          <w:szCs w:val="28"/>
          <w:shd w:val="clear" w:color="auto" w:fill="FFFFFF"/>
          <w:lang w:val="uk-UA" w:eastAsia="uk-UA"/>
        </w:rPr>
        <w:t>низький ступінь ризику;</w:t>
      </w:r>
    </w:p>
    <w:p w:rsidR="003B2A82" w:rsidRPr="00C643B7" w:rsidRDefault="003B2A82"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10"/>
        </w:numPr>
        <w:spacing w:after="0" w:line="240" w:lineRule="auto"/>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 xml:space="preserve">2” ‒ </w:t>
      </w:r>
      <w:r w:rsidR="00E572F0" w:rsidRPr="00C643B7">
        <w:rPr>
          <w:rFonts w:ascii="Times New Roman" w:eastAsia="Times New Roman" w:hAnsi="Times New Roman"/>
          <w:iCs/>
          <w:color w:val="000000"/>
          <w:sz w:val="28"/>
          <w:szCs w:val="28"/>
          <w:shd w:val="clear" w:color="auto" w:fill="FFFFFF"/>
          <w:lang w:val="uk-UA" w:eastAsia="uk-UA"/>
        </w:rPr>
        <w:t xml:space="preserve">показники </w:t>
      </w:r>
      <w:r w:rsidR="003B2A82" w:rsidRPr="00C643B7">
        <w:rPr>
          <w:rFonts w:ascii="Times New Roman" w:eastAsia="Times New Roman" w:hAnsi="Times New Roman"/>
          <w:iCs/>
          <w:color w:val="000000"/>
          <w:sz w:val="28"/>
          <w:szCs w:val="28"/>
          <w:shd w:val="clear" w:color="auto" w:fill="FFFFFF"/>
          <w:lang w:val="uk-UA" w:eastAsia="uk-UA"/>
        </w:rPr>
        <w:t>діяльн</w:t>
      </w:r>
      <w:r w:rsidR="006529F6" w:rsidRPr="00C643B7">
        <w:rPr>
          <w:rFonts w:ascii="Times New Roman" w:eastAsia="Times New Roman" w:hAnsi="Times New Roman"/>
          <w:iCs/>
          <w:color w:val="000000"/>
          <w:sz w:val="28"/>
          <w:szCs w:val="28"/>
          <w:shd w:val="clear" w:color="auto" w:fill="FFFFFF"/>
          <w:lang w:val="uk-UA" w:eastAsia="uk-UA"/>
        </w:rPr>
        <w:t>ості</w:t>
      </w:r>
      <w:r w:rsidR="003B2A82" w:rsidRPr="00C643B7">
        <w:rPr>
          <w:rFonts w:ascii="Times New Roman" w:eastAsia="Times New Roman" w:hAnsi="Times New Roman"/>
          <w:iCs/>
          <w:color w:val="000000"/>
          <w:sz w:val="28"/>
          <w:szCs w:val="28"/>
          <w:shd w:val="clear" w:color="auto" w:fill="FFFFFF"/>
          <w:lang w:val="uk-UA" w:eastAsia="uk-UA"/>
        </w:rPr>
        <w:t xml:space="preserve"> </w:t>
      </w:r>
      <w:r w:rsidR="00F90977" w:rsidRPr="00C643B7">
        <w:rPr>
          <w:rFonts w:ascii="Times New Roman" w:eastAsia="Times New Roman" w:hAnsi="Times New Roman"/>
          <w:iCs/>
          <w:color w:val="000000"/>
          <w:sz w:val="28"/>
          <w:szCs w:val="28"/>
          <w:shd w:val="clear" w:color="auto" w:fill="FFFFFF"/>
          <w:lang w:val="uk-UA" w:eastAsia="uk-UA"/>
        </w:rPr>
        <w:t xml:space="preserve">створюють </w:t>
      </w:r>
      <w:r w:rsidR="003B2A82" w:rsidRPr="00C643B7">
        <w:rPr>
          <w:rFonts w:ascii="Times New Roman" w:eastAsia="Times New Roman" w:hAnsi="Times New Roman"/>
          <w:iCs/>
          <w:color w:val="000000"/>
          <w:sz w:val="28"/>
          <w:szCs w:val="28"/>
          <w:shd w:val="clear" w:color="auto" w:fill="FFFFFF"/>
          <w:lang w:val="uk-UA" w:eastAsia="uk-UA"/>
        </w:rPr>
        <w:t>середній ступінь ризику;</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10"/>
        </w:numPr>
        <w:spacing w:after="0" w:line="240" w:lineRule="auto"/>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 xml:space="preserve">3” ‒ </w:t>
      </w:r>
      <w:r w:rsidR="00E572F0" w:rsidRPr="00C643B7">
        <w:rPr>
          <w:rFonts w:ascii="Times New Roman" w:eastAsia="Times New Roman" w:hAnsi="Times New Roman"/>
          <w:iCs/>
          <w:color w:val="000000"/>
          <w:sz w:val="28"/>
          <w:szCs w:val="28"/>
          <w:shd w:val="clear" w:color="auto" w:fill="FFFFFF"/>
          <w:lang w:val="uk-UA" w:eastAsia="uk-UA"/>
        </w:rPr>
        <w:t xml:space="preserve">показники </w:t>
      </w:r>
      <w:r w:rsidR="003B2A82" w:rsidRPr="00C643B7">
        <w:rPr>
          <w:rFonts w:ascii="Times New Roman" w:eastAsia="Times New Roman" w:hAnsi="Times New Roman"/>
          <w:iCs/>
          <w:color w:val="000000"/>
          <w:sz w:val="28"/>
          <w:szCs w:val="28"/>
          <w:shd w:val="clear" w:color="auto" w:fill="FFFFFF"/>
          <w:lang w:val="uk-UA" w:eastAsia="uk-UA"/>
        </w:rPr>
        <w:t>діяльн</w:t>
      </w:r>
      <w:r w:rsidR="006529F6" w:rsidRPr="00C643B7">
        <w:rPr>
          <w:rFonts w:ascii="Times New Roman" w:eastAsia="Times New Roman" w:hAnsi="Times New Roman"/>
          <w:iCs/>
          <w:color w:val="000000"/>
          <w:sz w:val="28"/>
          <w:szCs w:val="28"/>
          <w:shd w:val="clear" w:color="auto" w:fill="FFFFFF"/>
          <w:lang w:val="uk-UA" w:eastAsia="uk-UA"/>
        </w:rPr>
        <w:t>ості</w:t>
      </w:r>
      <w:r w:rsidR="003B2A82" w:rsidRPr="00C643B7">
        <w:rPr>
          <w:rFonts w:ascii="Times New Roman" w:eastAsia="Times New Roman" w:hAnsi="Times New Roman"/>
          <w:iCs/>
          <w:color w:val="000000"/>
          <w:sz w:val="28"/>
          <w:szCs w:val="28"/>
          <w:shd w:val="clear" w:color="auto" w:fill="FFFFFF"/>
          <w:lang w:val="uk-UA" w:eastAsia="uk-UA"/>
        </w:rPr>
        <w:t xml:space="preserve"> </w:t>
      </w:r>
      <w:r w:rsidR="00F90977" w:rsidRPr="00C643B7">
        <w:rPr>
          <w:rFonts w:ascii="Times New Roman" w:eastAsia="Times New Roman" w:hAnsi="Times New Roman"/>
          <w:iCs/>
          <w:color w:val="000000"/>
          <w:sz w:val="28"/>
          <w:szCs w:val="28"/>
          <w:shd w:val="clear" w:color="auto" w:fill="FFFFFF"/>
          <w:lang w:val="uk-UA" w:eastAsia="uk-UA"/>
        </w:rPr>
        <w:t xml:space="preserve">створюють </w:t>
      </w:r>
      <w:r w:rsidR="003B2A82" w:rsidRPr="00C643B7">
        <w:rPr>
          <w:rFonts w:ascii="Times New Roman" w:eastAsia="Times New Roman" w:hAnsi="Times New Roman"/>
          <w:iCs/>
          <w:color w:val="000000"/>
          <w:sz w:val="28"/>
          <w:szCs w:val="28"/>
          <w:shd w:val="clear" w:color="auto" w:fill="FFFFFF"/>
          <w:lang w:val="uk-UA" w:eastAsia="uk-UA"/>
        </w:rPr>
        <w:t>високий ступінь ризику;</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10"/>
        </w:numPr>
        <w:spacing w:after="0" w:line="240" w:lineRule="auto"/>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 xml:space="preserve">4” ‒ </w:t>
      </w:r>
      <w:r w:rsidR="00E572F0" w:rsidRPr="00C643B7">
        <w:rPr>
          <w:rFonts w:ascii="Times New Roman" w:eastAsia="Times New Roman" w:hAnsi="Times New Roman"/>
          <w:iCs/>
          <w:color w:val="000000"/>
          <w:sz w:val="28"/>
          <w:szCs w:val="28"/>
          <w:shd w:val="clear" w:color="auto" w:fill="FFFFFF"/>
          <w:lang w:val="uk-UA" w:eastAsia="uk-UA"/>
        </w:rPr>
        <w:t xml:space="preserve">показники </w:t>
      </w:r>
      <w:r w:rsidR="003B2A82" w:rsidRPr="00C643B7">
        <w:rPr>
          <w:rFonts w:ascii="Times New Roman" w:eastAsia="Times New Roman" w:hAnsi="Times New Roman"/>
          <w:iCs/>
          <w:color w:val="000000"/>
          <w:sz w:val="28"/>
          <w:szCs w:val="28"/>
          <w:shd w:val="clear" w:color="auto" w:fill="FFFFFF"/>
          <w:lang w:val="uk-UA" w:eastAsia="uk-UA"/>
        </w:rPr>
        <w:t>діяльн</w:t>
      </w:r>
      <w:r w:rsidR="006529F6" w:rsidRPr="00C643B7">
        <w:rPr>
          <w:rFonts w:ascii="Times New Roman" w:eastAsia="Times New Roman" w:hAnsi="Times New Roman"/>
          <w:iCs/>
          <w:color w:val="000000"/>
          <w:sz w:val="28"/>
          <w:szCs w:val="28"/>
          <w:shd w:val="clear" w:color="auto" w:fill="FFFFFF"/>
          <w:lang w:val="uk-UA" w:eastAsia="uk-UA"/>
        </w:rPr>
        <w:t>ості</w:t>
      </w:r>
      <w:r w:rsidR="003B2A82" w:rsidRPr="00C643B7">
        <w:rPr>
          <w:rFonts w:ascii="Times New Roman" w:eastAsia="Times New Roman" w:hAnsi="Times New Roman"/>
          <w:iCs/>
          <w:color w:val="000000"/>
          <w:sz w:val="28"/>
          <w:szCs w:val="28"/>
          <w:shd w:val="clear" w:color="auto" w:fill="FFFFFF"/>
          <w:lang w:val="uk-UA" w:eastAsia="uk-UA"/>
        </w:rPr>
        <w:t xml:space="preserve"> </w:t>
      </w:r>
      <w:r w:rsidR="00F90977" w:rsidRPr="00C643B7">
        <w:rPr>
          <w:rFonts w:ascii="Times New Roman" w:eastAsia="Times New Roman" w:hAnsi="Times New Roman"/>
          <w:iCs/>
          <w:color w:val="000000"/>
          <w:sz w:val="28"/>
          <w:szCs w:val="28"/>
          <w:shd w:val="clear" w:color="auto" w:fill="FFFFFF"/>
          <w:lang w:val="uk-UA" w:eastAsia="uk-UA"/>
        </w:rPr>
        <w:t xml:space="preserve">створюють </w:t>
      </w:r>
      <w:r w:rsidR="003B2A82" w:rsidRPr="00C643B7">
        <w:rPr>
          <w:rFonts w:ascii="Times New Roman" w:eastAsia="Times New Roman" w:hAnsi="Times New Roman"/>
          <w:iCs/>
          <w:color w:val="000000"/>
          <w:sz w:val="28"/>
          <w:szCs w:val="28"/>
          <w:shd w:val="clear" w:color="auto" w:fill="FFFFFF"/>
          <w:lang w:val="uk-UA" w:eastAsia="uk-UA"/>
        </w:rPr>
        <w:t>критичний ступінь ризику.</w:t>
      </w:r>
    </w:p>
    <w:p w:rsidR="003B2A82" w:rsidRPr="00C643B7" w:rsidRDefault="003B2A82"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p>
    <w:p w:rsidR="003B2A82" w:rsidRPr="00C643B7" w:rsidRDefault="00C2288E"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1</w:t>
      </w:r>
      <w:r w:rsidR="00D97DF9" w:rsidRPr="00C643B7">
        <w:rPr>
          <w:rFonts w:ascii="Times New Roman" w:eastAsia="Times New Roman" w:hAnsi="Times New Roman"/>
          <w:iCs/>
          <w:color w:val="000000"/>
          <w:sz w:val="28"/>
          <w:szCs w:val="28"/>
          <w:shd w:val="clear" w:color="auto" w:fill="FFFFFF"/>
          <w:lang w:eastAsia="uk-UA"/>
        </w:rPr>
        <w:t>4</w:t>
      </w:r>
      <w:r w:rsidR="003B2A82" w:rsidRPr="00C643B7">
        <w:rPr>
          <w:rFonts w:ascii="Times New Roman" w:eastAsia="Times New Roman" w:hAnsi="Times New Roman"/>
          <w:iCs/>
          <w:color w:val="000000"/>
          <w:sz w:val="28"/>
          <w:szCs w:val="28"/>
          <w:shd w:val="clear" w:color="auto" w:fill="FFFFFF"/>
          <w:lang w:eastAsia="uk-UA"/>
        </w:rPr>
        <w:t xml:space="preserve">. </w:t>
      </w:r>
      <w:r w:rsidR="00FF57E3" w:rsidRPr="00C643B7">
        <w:rPr>
          <w:rFonts w:ascii="Times New Roman" w:eastAsia="Times New Roman" w:hAnsi="Times New Roman"/>
          <w:iCs/>
          <w:color w:val="000000"/>
          <w:sz w:val="28"/>
          <w:szCs w:val="28"/>
          <w:shd w:val="clear" w:color="auto" w:fill="FFFFFF"/>
          <w:lang w:eastAsia="uk-UA"/>
        </w:rPr>
        <w:t xml:space="preserve">Національний банк під час оцінки ступеня ризику за критерієм, зазначеним у підпункті 3 пункту </w:t>
      </w:r>
      <w:r w:rsidR="00F90977" w:rsidRPr="00C643B7">
        <w:rPr>
          <w:rFonts w:ascii="Times New Roman" w:eastAsia="Times New Roman" w:hAnsi="Times New Roman"/>
          <w:iCs/>
          <w:color w:val="000000"/>
          <w:sz w:val="28"/>
          <w:szCs w:val="28"/>
          <w:shd w:val="clear" w:color="auto" w:fill="FFFFFF"/>
          <w:lang w:eastAsia="uk-UA"/>
        </w:rPr>
        <w:t>8</w:t>
      </w:r>
      <w:r w:rsidR="00FF57E3" w:rsidRPr="00C643B7">
        <w:rPr>
          <w:rFonts w:ascii="Times New Roman" w:eastAsia="Times New Roman" w:hAnsi="Times New Roman"/>
          <w:iCs/>
          <w:color w:val="000000"/>
          <w:sz w:val="28"/>
          <w:szCs w:val="28"/>
          <w:shd w:val="clear" w:color="auto" w:fill="FFFFFF"/>
          <w:lang w:eastAsia="uk-UA"/>
        </w:rPr>
        <w:t xml:space="preserve"> розділу ІІ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00FF57E3" w:rsidRPr="00C643B7">
        <w:rPr>
          <w:rFonts w:ascii="Times New Roman" w:eastAsia="Times New Roman" w:hAnsi="Times New Roman"/>
          <w:iCs/>
          <w:color w:val="000000"/>
          <w:sz w:val="28"/>
          <w:szCs w:val="28"/>
          <w:shd w:val="clear" w:color="auto" w:fill="FFFFFF"/>
          <w:lang w:eastAsia="uk-UA"/>
        </w:rPr>
        <w:t>, присвоює учаснику ринку небанківських фінансових послуг один з таких балів, якщо</w:t>
      </w:r>
      <w:r w:rsidR="003B2A82" w:rsidRPr="00C643B7">
        <w:rPr>
          <w:rFonts w:ascii="Times New Roman" w:eastAsia="Times New Roman" w:hAnsi="Times New Roman"/>
          <w:iCs/>
          <w:color w:val="000000"/>
          <w:sz w:val="28"/>
          <w:szCs w:val="28"/>
          <w:shd w:val="clear" w:color="auto" w:fill="FFFFFF"/>
          <w:lang w:eastAsia="uk-UA"/>
        </w:rPr>
        <w:t>:</w:t>
      </w:r>
    </w:p>
    <w:p w:rsidR="00FF57E3" w:rsidRPr="00C643B7" w:rsidRDefault="00FF57E3"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11"/>
        </w:numPr>
        <w:spacing w:after="0" w:line="240" w:lineRule="auto"/>
        <w:ind w:left="0" w:firstLine="708"/>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1” ‒ стан 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r w:rsidR="003B2A82" w:rsidRPr="00C643B7">
        <w:rPr>
          <w:rFonts w:ascii="Times New Roman" w:eastAsia="SimSun" w:hAnsi="Times New Roman"/>
          <w:color w:val="333333"/>
          <w:sz w:val="28"/>
          <w:szCs w:val="28"/>
          <w:shd w:val="clear" w:color="auto" w:fill="FFFFFF"/>
          <w:lang w:val="uk-UA" w:eastAsia="uk-UA"/>
        </w:rPr>
        <w:t xml:space="preserve"> </w:t>
      </w:r>
      <w:r w:rsidR="003B2A82" w:rsidRPr="00C643B7">
        <w:rPr>
          <w:rFonts w:ascii="Times New Roman" w:eastAsia="Times New Roman" w:hAnsi="Times New Roman"/>
          <w:iCs/>
          <w:color w:val="000000"/>
          <w:sz w:val="28"/>
          <w:szCs w:val="28"/>
          <w:shd w:val="clear" w:color="auto" w:fill="FFFFFF"/>
          <w:lang w:val="uk-UA" w:eastAsia="uk-UA"/>
        </w:rPr>
        <w:t xml:space="preserve">що обмежують ризики за операціями з фінансовими активами створює низький ступінь ризику; </w:t>
      </w:r>
    </w:p>
    <w:p w:rsidR="00FF57E3" w:rsidRPr="00C643B7" w:rsidRDefault="00FF57E3"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11"/>
        </w:numPr>
        <w:spacing w:after="0" w:line="240" w:lineRule="auto"/>
        <w:ind w:left="0" w:firstLine="708"/>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lastRenderedPageBreak/>
        <w:t>“</w:t>
      </w:r>
      <w:r w:rsidR="003B2A82" w:rsidRPr="00C643B7">
        <w:rPr>
          <w:rFonts w:ascii="Times New Roman" w:eastAsia="Times New Roman" w:hAnsi="Times New Roman"/>
          <w:iCs/>
          <w:color w:val="000000"/>
          <w:sz w:val="28"/>
          <w:szCs w:val="28"/>
          <w:shd w:val="clear" w:color="auto" w:fill="FFFFFF"/>
          <w:lang w:val="uk-UA" w:eastAsia="uk-UA"/>
        </w:rPr>
        <w:t xml:space="preserve">2” ‒ </w:t>
      </w:r>
      <w:r w:rsidR="00E572F0" w:rsidRPr="00C643B7">
        <w:rPr>
          <w:rFonts w:ascii="Times New Roman" w:eastAsia="Times New Roman" w:hAnsi="Times New Roman"/>
          <w:iCs/>
          <w:color w:val="000000"/>
          <w:sz w:val="28"/>
          <w:szCs w:val="28"/>
          <w:shd w:val="clear" w:color="auto" w:fill="FFFFFF"/>
          <w:lang w:val="uk-UA" w:eastAsia="uk-UA"/>
        </w:rPr>
        <w:t xml:space="preserve">рівень </w:t>
      </w:r>
      <w:r w:rsidR="003B2A82" w:rsidRPr="00C643B7">
        <w:rPr>
          <w:rFonts w:ascii="Times New Roman" w:eastAsia="Times New Roman" w:hAnsi="Times New Roman"/>
          <w:iCs/>
          <w:color w:val="000000"/>
          <w:sz w:val="28"/>
          <w:szCs w:val="28"/>
          <w:shd w:val="clear" w:color="auto" w:fill="FFFFFF"/>
          <w:lang w:val="uk-UA" w:eastAsia="uk-UA"/>
        </w:rPr>
        <w:t>не 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r w:rsidR="003B2A82" w:rsidRPr="00C643B7">
        <w:rPr>
          <w:rFonts w:ascii="Times New Roman" w:eastAsia="SimSun" w:hAnsi="Times New Roman"/>
          <w:color w:val="333333"/>
          <w:sz w:val="28"/>
          <w:szCs w:val="28"/>
          <w:shd w:val="clear" w:color="auto" w:fill="FFFFFF"/>
          <w:lang w:val="uk-UA" w:eastAsia="uk-UA"/>
        </w:rPr>
        <w:t xml:space="preserve"> </w:t>
      </w:r>
      <w:r w:rsidR="003B2A82" w:rsidRPr="00C643B7">
        <w:rPr>
          <w:rFonts w:ascii="Times New Roman" w:eastAsia="Times New Roman" w:hAnsi="Times New Roman"/>
          <w:iCs/>
          <w:color w:val="000000"/>
          <w:sz w:val="28"/>
          <w:szCs w:val="28"/>
          <w:shd w:val="clear" w:color="auto" w:fill="FFFFFF"/>
          <w:lang w:val="uk-UA" w:eastAsia="uk-UA"/>
        </w:rPr>
        <w:t>що обмежують ризики за операціями з фінансовими активами створює середній ступінь ризику;</w:t>
      </w:r>
    </w:p>
    <w:p w:rsidR="00FF57E3" w:rsidRPr="00C643B7" w:rsidRDefault="00FF57E3"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FF57E3" w:rsidRPr="00C643B7" w:rsidRDefault="00C2490F" w:rsidP="004646FD">
      <w:pPr>
        <w:pStyle w:val="a6"/>
        <w:numPr>
          <w:ilvl w:val="0"/>
          <w:numId w:val="11"/>
        </w:numPr>
        <w:spacing w:after="0" w:line="240" w:lineRule="auto"/>
        <w:ind w:left="0" w:firstLine="708"/>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 xml:space="preserve">3” ‒ </w:t>
      </w:r>
      <w:r w:rsidR="00E572F0" w:rsidRPr="00C643B7">
        <w:rPr>
          <w:rFonts w:ascii="Times New Roman" w:eastAsia="Times New Roman" w:hAnsi="Times New Roman"/>
          <w:iCs/>
          <w:color w:val="000000"/>
          <w:sz w:val="28"/>
          <w:szCs w:val="28"/>
          <w:shd w:val="clear" w:color="auto" w:fill="FFFFFF"/>
          <w:lang w:val="uk-UA" w:eastAsia="uk-UA"/>
        </w:rPr>
        <w:t xml:space="preserve">рівень не </w:t>
      </w:r>
      <w:r w:rsidR="003B2A82" w:rsidRPr="00C643B7">
        <w:rPr>
          <w:rFonts w:ascii="Times New Roman" w:eastAsia="Times New Roman" w:hAnsi="Times New Roman"/>
          <w:iCs/>
          <w:color w:val="000000"/>
          <w:sz w:val="28"/>
          <w:szCs w:val="28"/>
          <w:shd w:val="clear" w:color="auto" w:fill="FFFFFF"/>
          <w:lang w:val="uk-UA" w:eastAsia="uk-UA"/>
        </w:rPr>
        <w:t>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r w:rsidR="003B2A82" w:rsidRPr="00C643B7">
        <w:rPr>
          <w:rFonts w:ascii="Times New Roman" w:eastAsia="SimSun" w:hAnsi="Times New Roman"/>
          <w:color w:val="333333"/>
          <w:sz w:val="28"/>
          <w:szCs w:val="28"/>
          <w:shd w:val="clear" w:color="auto" w:fill="FFFFFF"/>
          <w:lang w:val="uk-UA" w:eastAsia="uk-UA"/>
        </w:rPr>
        <w:t xml:space="preserve"> </w:t>
      </w:r>
      <w:r w:rsidR="003B2A82" w:rsidRPr="00C643B7">
        <w:rPr>
          <w:rFonts w:ascii="Times New Roman" w:eastAsia="Times New Roman" w:hAnsi="Times New Roman"/>
          <w:iCs/>
          <w:color w:val="000000"/>
          <w:sz w:val="28"/>
          <w:szCs w:val="28"/>
          <w:shd w:val="clear" w:color="auto" w:fill="FFFFFF"/>
          <w:lang w:val="uk-UA" w:eastAsia="uk-UA"/>
        </w:rPr>
        <w:t>що обмежують ризики за операціями з фінансовими активами створює високий ступінь ризику;</w:t>
      </w:r>
    </w:p>
    <w:p w:rsidR="00FF57E3" w:rsidRPr="00C643B7" w:rsidRDefault="00FF57E3"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490F" w:rsidP="004646FD">
      <w:pPr>
        <w:pStyle w:val="a6"/>
        <w:numPr>
          <w:ilvl w:val="0"/>
          <w:numId w:val="11"/>
        </w:numPr>
        <w:spacing w:after="0" w:line="240" w:lineRule="auto"/>
        <w:ind w:left="0" w:firstLine="708"/>
        <w:jc w:val="both"/>
        <w:rPr>
          <w:rFonts w:ascii="Times New Roman" w:eastAsia="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eastAsia="Times New Roman" w:hAnsi="Times New Roman"/>
          <w:iCs/>
          <w:color w:val="000000"/>
          <w:sz w:val="28"/>
          <w:szCs w:val="28"/>
          <w:shd w:val="clear" w:color="auto" w:fill="FFFFFF"/>
          <w:lang w:val="uk-UA" w:eastAsia="uk-UA"/>
        </w:rPr>
        <w:t xml:space="preserve">4” ‒ </w:t>
      </w:r>
      <w:r w:rsidR="00E572F0" w:rsidRPr="00C643B7">
        <w:rPr>
          <w:rFonts w:ascii="Times New Roman" w:eastAsia="Times New Roman" w:hAnsi="Times New Roman"/>
          <w:iCs/>
          <w:color w:val="000000"/>
          <w:sz w:val="28"/>
          <w:szCs w:val="28"/>
          <w:shd w:val="clear" w:color="auto" w:fill="FFFFFF"/>
          <w:lang w:val="uk-UA" w:eastAsia="uk-UA"/>
        </w:rPr>
        <w:t xml:space="preserve">рівень </w:t>
      </w:r>
      <w:r w:rsidR="003B2A82" w:rsidRPr="00C643B7">
        <w:rPr>
          <w:rFonts w:ascii="Times New Roman" w:eastAsia="Times New Roman" w:hAnsi="Times New Roman"/>
          <w:iCs/>
          <w:color w:val="000000"/>
          <w:sz w:val="28"/>
          <w:szCs w:val="28"/>
          <w:shd w:val="clear" w:color="auto" w:fill="FFFFFF"/>
          <w:lang w:val="uk-UA" w:eastAsia="uk-UA"/>
        </w:rPr>
        <w:t>не 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r w:rsidR="003B2A82" w:rsidRPr="00C643B7">
        <w:rPr>
          <w:rFonts w:ascii="Times New Roman" w:eastAsia="SimSun" w:hAnsi="Times New Roman"/>
          <w:color w:val="333333"/>
          <w:sz w:val="28"/>
          <w:szCs w:val="28"/>
          <w:shd w:val="clear" w:color="auto" w:fill="FFFFFF"/>
          <w:lang w:val="uk-UA" w:eastAsia="uk-UA"/>
        </w:rPr>
        <w:t xml:space="preserve"> </w:t>
      </w:r>
      <w:r w:rsidR="003B2A82" w:rsidRPr="00C643B7">
        <w:rPr>
          <w:rFonts w:ascii="Times New Roman" w:eastAsia="Times New Roman" w:hAnsi="Times New Roman"/>
          <w:iCs/>
          <w:color w:val="000000"/>
          <w:sz w:val="28"/>
          <w:szCs w:val="28"/>
          <w:shd w:val="clear" w:color="auto" w:fill="FFFFFF"/>
          <w:lang w:val="uk-UA" w:eastAsia="uk-UA"/>
        </w:rPr>
        <w:t>що обмежують ризики за операціями з фінансовими активами створює критичний ступінь ризику</w:t>
      </w:r>
      <w:r w:rsidR="00E572F0" w:rsidRPr="00C643B7">
        <w:rPr>
          <w:rFonts w:ascii="Times New Roman" w:eastAsia="Times New Roman" w:hAnsi="Times New Roman"/>
          <w:iCs/>
          <w:color w:val="000000"/>
          <w:sz w:val="28"/>
          <w:szCs w:val="28"/>
          <w:shd w:val="clear" w:color="auto" w:fill="FFFFFF"/>
          <w:lang w:val="uk-UA" w:eastAsia="uk-UA"/>
        </w:rPr>
        <w:t>.</w:t>
      </w:r>
    </w:p>
    <w:p w:rsidR="00E572F0" w:rsidRPr="00C643B7" w:rsidRDefault="00E572F0"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C2288E" w:rsidP="004646FD">
      <w:pPr>
        <w:spacing w:after="0" w:line="240" w:lineRule="auto"/>
        <w:ind w:firstLine="708"/>
        <w:jc w:val="both"/>
        <w:rPr>
          <w:rFonts w:ascii="Times New Roman" w:eastAsia="Times New Roman" w:hAnsi="Times New Roman"/>
          <w:iCs/>
          <w:color w:val="000000"/>
          <w:sz w:val="28"/>
          <w:szCs w:val="28"/>
          <w:shd w:val="clear" w:color="auto" w:fill="FFFFFF"/>
        </w:rPr>
      </w:pPr>
      <w:r w:rsidRPr="00C643B7">
        <w:rPr>
          <w:rFonts w:ascii="Times New Roman" w:eastAsia="Times New Roman" w:hAnsi="Times New Roman"/>
          <w:iCs/>
          <w:color w:val="000000"/>
          <w:sz w:val="28"/>
          <w:szCs w:val="28"/>
          <w:shd w:val="clear" w:color="auto" w:fill="FFFFFF"/>
          <w:lang w:eastAsia="uk-UA"/>
        </w:rPr>
        <w:t>1</w:t>
      </w:r>
      <w:r w:rsidR="00D97DF9" w:rsidRPr="00C643B7">
        <w:rPr>
          <w:rFonts w:ascii="Times New Roman" w:eastAsia="Times New Roman" w:hAnsi="Times New Roman"/>
          <w:iCs/>
          <w:color w:val="000000"/>
          <w:sz w:val="28"/>
          <w:szCs w:val="28"/>
          <w:shd w:val="clear" w:color="auto" w:fill="FFFFFF"/>
          <w:lang w:eastAsia="uk-UA"/>
        </w:rPr>
        <w:t>5</w:t>
      </w:r>
      <w:r w:rsidR="003B2A82" w:rsidRPr="00C643B7">
        <w:rPr>
          <w:rFonts w:ascii="Times New Roman" w:eastAsia="Times New Roman" w:hAnsi="Times New Roman"/>
          <w:iCs/>
          <w:color w:val="000000"/>
          <w:sz w:val="28"/>
          <w:szCs w:val="28"/>
          <w:shd w:val="clear" w:color="auto" w:fill="FFFFFF"/>
          <w:lang w:eastAsia="uk-UA"/>
        </w:rPr>
        <w:t xml:space="preserve">. </w:t>
      </w:r>
      <w:r w:rsidR="008A5225" w:rsidRPr="00C643B7">
        <w:rPr>
          <w:rFonts w:ascii="Times New Roman" w:eastAsia="Times New Roman" w:hAnsi="Times New Roman"/>
          <w:iCs/>
          <w:color w:val="000000"/>
          <w:sz w:val="28"/>
          <w:szCs w:val="28"/>
          <w:shd w:val="clear" w:color="auto" w:fill="FFFFFF"/>
        </w:rPr>
        <w:t>Національний банк при визначенні загального балу за кожним із критеріїв, відповідно до додатків 1</w:t>
      </w:r>
      <w:r w:rsidR="007E4B5C" w:rsidRPr="00C643B7">
        <w:rPr>
          <w:rFonts w:ascii="Times New Roman" w:eastAsia="Times New Roman" w:hAnsi="Times New Roman"/>
          <w:iCs/>
          <w:color w:val="000000"/>
          <w:sz w:val="28"/>
          <w:szCs w:val="28"/>
          <w:shd w:val="clear" w:color="auto" w:fill="FFFFFF"/>
        </w:rPr>
        <w:t xml:space="preserve"> - </w:t>
      </w:r>
      <w:r w:rsidR="008A5225" w:rsidRPr="00C643B7">
        <w:rPr>
          <w:rFonts w:ascii="Times New Roman" w:eastAsia="Times New Roman" w:hAnsi="Times New Roman"/>
          <w:iCs/>
          <w:color w:val="000000"/>
          <w:sz w:val="28"/>
          <w:szCs w:val="28"/>
          <w:shd w:val="clear" w:color="auto" w:fill="FFFFFF"/>
        </w:rPr>
        <w:t xml:space="preserve">3 до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008A5225" w:rsidRPr="00C643B7">
        <w:rPr>
          <w:rFonts w:ascii="Times New Roman" w:eastAsia="Times New Roman" w:hAnsi="Times New Roman"/>
          <w:iCs/>
          <w:color w:val="000000"/>
          <w:sz w:val="28"/>
          <w:szCs w:val="28"/>
          <w:shd w:val="clear" w:color="auto" w:fill="FFFFFF"/>
        </w:rPr>
        <w:t xml:space="preserve"> </w:t>
      </w:r>
      <w:r w:rsidR="00A43A7E" w:rsidRPr="00C643B7">
        <w:rPr>
          <w:rFonts w:ascii="Times New Roman" w:eastAsia="Times New Roman" w:hAnsi="Times New Roman"/>
          <w:iCs/>
          <w:color w:val="000000"/>
          <w:sz w:val="28"/>
          <w:szCs w:val="28"/>
          <w:shd w:val="clear" w:color="auto" w:fill="FFFFFF"/>
        </w:rPr>
        <w:t>має право</w:t>
      </w:r>
      <w:r w:rsidR="008A5225" w:rsidRPr="00C643B7">
        <w:rPr>
          <w:rFonts w:ascii="Times New Roman" w:eastAsia="Times New Roman" w:hAnsi="Times New Roman"/>
          <w:iCs/>
          <w:color w:val="000000"/>
          <w:sz w:val="28"/>
          <w:szCs w:val="28"/>
          <w:shd w:val="clear" w:color="auto" w:fill="FFFFFF"/>
        </w:rPr>
        <w:t xml:space="preserve"> застосувати коригуючий бал (але не більше одного), який збільшує або зменшує загальний бал по критерію.</w:t>
      </w:r>
    </w:p>
    <w:p w:rsidR="008A5225" w:rsidRPr="00C643B7" w:rsidRDefault="008A5225"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2C78EA" w:rsidRPr="00C643B7" w:rsidRDefault="003B2A82" w:rsidP="004646FD">
      <w:pPr>
        <w:suppressAutoHyphens/>
        <w:autoSpaceDN w:val="0"/>
        <w:spacing w:after="0" w:line="240" w:lineRule="auto"/>
        <w:ind w:firstLine="709"/>
        <w:jc w:val="both"/>
        <w:textAlignment w:val="baseline"/>
        <w:rPr>
          <w:rFonts w:ascii="Times New Roman" w:eastAsia="Times New Roman" w:hAnsi="Times New Roman"/>
          <w:kern w:val="3"/>
          <w:sz w:val="28"/>
          <w:szCs w:val="28"/>
          <w:lang w:eastAsia="ru-RU" w:bidi="hi-IN"/>
        </w:rPr>
      </w:pPr>
      <w:r w:rsidRPr="00C643B7">
        <w:rPr>
          <w:rFonts w:ascii="Times New Roman" w:eastAsia="Times New Roman" w:hAnsi="Times New Roman"/>
          <w:iCs/>
          <w:color w:val="000000"/>
          <w:kern w:val="3"/>
          <w:sz w:val="28"/>
          <w:szCs w:val="28"/>
          <w:shd w:val="clear" w:color="auto" w:fill="FFFFFF"/>
          <w:lang w:eastAsia="uk-UA" w:bidi="hi-IN"/>
        </w:rPr>
        <w:t>1</w:t>
      </w:r>
      <w:r w:rsidR="00D97DF9" w:rsidRPr="00C643B7">
        <w:rPr>
          <w:rFonts w:ascii="Times New Roman" w:eastAsia="Times New Roman" w:hAnsi="Times New Roman"/>
          <w:iCs/>
          <w:color w:val="000000"/>
          <w:kern w:val="3"/>
          <w:sz w:val="28"/>
          <w:szCs w:val="28"/>
          <w:shd w:val="clear" w:color="auto" w:fill="FFFFFF"/>
          <w:lang w:eastAsia="uk-UA" w:bidi="hi-IN"/>
        </w:rPr>
        <w:t>6</w:t>
      </w:r>
      <w:r w:rsidRPr="00C643B7">
        <w:rPr>
          <w:rFonts w:ascii="Times New Roman" w:eastAsia="Times New Roman" w:hAnsi="Times New Roman"/>
          <w:iCs/>
          <w:color w:val="000000"/>
          <w:kern w:val="3"/>
          <w:sz w:val="28"/>
          <w:szCs w:val="28"/>
          <w:shd w:val="clear" w:color="auto" w:fill="FFFFFF"/>
          <w:lang w:eastAsia="uk-UA" w:bidi="hi-IN"/>
        </w:rPr>
        <w:t xml:space="preserve">. </w:t>
      </w:r>
      <w:r w:rsidR="002C78EA" w:rsidRPr="00C643B7">
        <w:rPr>
          <w:rFonts w:ascii="Times New Roman" w:eastAsia="Times New Roman" w:hAnsi="Times New Roman"/>
          <w:iCs/>
          <w:color w:val="000000"/>
          <w:kern w:val="3"/>
          <w:sz w:val="28"/>
          <w:szCs w:val="28"/>
          <w:shd w:val="clear" w:color="auto" w:fill="FFFFFF"/>
          <w:lang w:bidi="hi-IN"/>
        </w:rPr>
        <w:t xml:space="preserve">Національний банк при застосуванні або незастосуванні коригуючого балу </w:t>
      </w:r>
      <w:r w:rsidR="002C78EA" w:rsidRPr="00C643B7">
        <w:rPr>
          <w:rFonts w:ascii="Times New Roman" w:eastAsia="Times New Roman" w:hAnsi="Times New Roman"/>
          <w:kern w:val="3"/>
          <w:sz w:val="28"/>
          <w:szCs w:val="28"/>
          <w:lang w:eastAsia="ru-RU" w:bidi="hi-IN"/>
        </w:rPr>
        <w:t>керується висновками щодо фактів, подій, обставин, осіб, що ґрунту</w:t>
      </w:r>
      <w:r w:rsidR="00403416" w:rsidRPr="00C643B7">
        <w:rPr>
          <w:rFonts w:ascii="Times New Roman" w:eastAsia="Times New Roman" w:hAnsi="Times New Roman"/>
          <w:kern w:val="3"/>
          <w:sz w:val="28"/>
          <w:szCs w:val="28"/>
          <w:lang w:eastAsia="ru-RU" w:bidi="hi-IN"/>
        </w:rPr>
        <w:t>ю</w:t>
      </w:r>
      <w:r w:rsidR="002C78EA" w:rsidRPr="00C643B7">
        <w:rPr>
          <w:rFonts w:ascii="Times New Roman" w:eastAsia="Times New Roman" w:hAnsi="Times New Roman"/>
          <w:kern w:val="3"/>
          <w:sz w:val="28"/>
          <w:szCs w:val="28"/>
          <w:lang w:eastAsia="ru-RU" w:bidi="hi-IN"/>
        </w:rPr>
        <w:t xml:space="preserve">ться на знаннях і досвіді Національного банку у сфері регулювання та нагляду за діяльністю з надання фінансових послуг, практичному застосуванні законодавства </w:t>
      </w:r>
      <w:r w:rsidR="002C78EA" w:rsidRPr="00C643B7">
        <w:rPr>
          <w:rFonts w:ascii="Times New Roman" w:eastAsia="NSimSun" w:hAnsi="Times New Roman"/>
          <w:kern w:val="3"/>
          <w:sz w:val="28"/>
          <w:szCs w:val="28"/>
          <w:shd w:val="clear" w:color="auto" w:fill="FFFFFF"/>
          <w:lang w:eastAsia="zh-CN" w:bidi="hi-IN"/>
        </w:rPr>
        <w:t>про регулювання діяльності з надання фінансових послуг</w:t>
      </w:r>
      <w:r w:rsidR="002C78EA" w:rsidRPr="00C643B7">
        <w:rPr>
          <w:rFonts w:ascii="Times New Roman" w:eastAsia="Times New Roman" w:hAnsi="Times New Roman"/>
          <w:kern w:val="3"/>
          <w:sz w:val="28"/>
          <w:szCs w:val="28"/>
          <w:lang w:eastAsia="ru-RU" w:bidi="hi-IN"/>
        </w:rPr>
        <w:t>, а також на комплексному та всебічному аналізі:</w:t>
      </w:r>
    </w:p>
    <w:p w:rsidR="003B2A82" w:rsidRPr="00C643B7" w:rsidRDefault="003B2A82" w:rsidP="004646FD">
      <w:pPr>
        <w:suppressAutoHyphens/>
        <w:autoSpaceDN w:val="0"/>
        <w:spacing w:before="100" w:beforeAutospacing="1" w:after="100" w:afterAutospacing="1" w:line="240" w:lineRule="auto"/>
        <w:ind w:firstLine="709"/>
        <w:jc w:val="both"/>
        <w:textAlignment w:val="baseline"/>
        <w:rPr>
          <w:rFonts w:ascii="Times New Roman" w:eastAsia="Times New Roman" w:hAnsi="Times New Roman"/>
          <w:kern w:val="3"/>
          <w:sz w:val="28"/>
          <w:szCs w:val="28"/>
          <w:lang w:eastAsia="ru-RU" w:bidi="hi-IN"/>
        </w:rPr>
      </w:pPr>
      <w:r w:rsidRPr="00C643B7">
        <w:rPr>
          <w:rFonts w:ascii="Times New Roman" w:eastAsia="Times New Roman" w:hAnsi="Times New Roman"/>
          <w:kern w:val="3"/>
          <w:sz w:val="28"/>
          <w:szCs w:val="28"/>
          <w:lang w:eastAsia="ru-RU" w:bidi="hi-IN"/>
        </w:rPr>
        <w:t>1) інформації та документів, поданих до Національного банку в межах передбаченої законодавством процедури взаємодії та обміну інформацією, а також отриманих від державних органів та з інших джерел;</w:t>
      </w:r>
    </w:p>
    <w:p w:rsidR="003B2A82" w:rsidRPr="00C643B7" w:rsidRDefault="003B2A82" w:rsidP="004646FD">
      <w:pPr>
        <w:suppressAutoHyphens/>
        <w:autoSpaceDN w:val="0"/>
        <w:spacing w:before="100" w:beforeAutospacing="1" w:after="100" w:afterAutospacing="1" w:line="240" w:lineRule="auto"/>
        <w:ind w:firstLine="709"/>
        <w:jc w:val="both"/>
        <w:textAlignment w:val="baseline"/>
        <w:rPr>
          <w:rFonts w:ascii="Times New Roman" w:eastAsia="Times New Roman" w:hAnsi="Times New Roman"/>
          <w:kern w:val="3"/>
          <w:sz w:val="28"/>
          <w:szCs w:val="28"/>
          <w:lang w:eastAsia="ru-RU" w:bidi="hi-IN"/>
        </w:rPr>
      </w:pPr>
      <w:r w:rsidRPr="00C643B7">
        <w:rPr>
          <w:rFonts w:ascii="Times New Roman" w:eastAsia="Times New Roman" w:hAnsi="Times New Roman"/>
          <w:kern w:val="3"/>
          <w:sz w:val="28"/>
          <w:szCs w:val="28"/>
          <w:lang w:eastAsia="ru-RU" w:bidi="hi-IN"/>
        </w:rPr>
        <w:t>2) інформації та документів, наявних у Національного банку, уключаючи отримані в результаті здійснення ним нагляду на ринках небанківських фінансових послуг.</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1</w:t>
      </w:r>
      <w:r w:rsidR="00D97DF9" w:rsidRPr="00C643B7">
        <w:rPr>
          <w:rFonts w:ascii="Times New Roman" w:eastAsia="Times New Roman" w:hAnsi="Times New Roman"/>
          <w:iCs/>
          <w:color w:val="000000"/>
          <w:sz w:val="28"/>
          <w:szCs w:val="28"/>
          <w:shd w:val="clear" w:color="auto" w:fill="FFFFFF"/>
          <w:lang w:eastAsia="uk-UA"/>
        </w:rPr>
        <w:t>7</w:t>
      </w:r>
      <w:r w:rsidRPr="00C643B7">
        <w:rPr>
          <w:rFonts w:ascii="Times New Roman" w:eastAsia="Times New Roman" w:hAnsi="Times New Roman"/>
          <w:iCs/>
          <w:color w:val="000000"/>
          <w:sz w:val="28"/>
          <w:szCs w:val="28"/>
          <w:shd w:val="clear" w:color="auto" w:fill="FFFFFF"/>
          <w:lang w:eastAsia="uk-UA"/>
        </w:rPr>
        <w:t>. За результат</w:t>
      </w:r>
      <w:r w:rsidR="00806508" w:rsidRPr="00C643B7">
        <w:rPr>
          <w:rFonts w:ascii="Times New Roman" w:eastAsia="Times New Roman" w:hAnsi="Times New Roman"/>
          <w:iCs/>
          <w:color w:val="000000"/>
          <w:sz w:val="28"/>
          <w:szCs w:val="28"/>
          <w:shd w:val="clear" w:color="auto" w:fill="FFFFFF"/>
          <w:lang w:eastAsia="uk-UA"/>
        </w:rPr>
        <w:t>ам</w:t>
      </w:r>
      <w:r w:rsidRPr="00C643B7">
        <w:rPr>
          <w:rFonts w:ascii="Times New Roman" w:eastAsia="Times New Roman" w:hAnsi="Times New Roman"/>
          <w:iCs/>
          <w:color w:val="000000"/>
          <w:sz w:val="28"/>
          <w:szCs w:val="28"/>
          <w:shd w:val="clear" w:color="auto" w:fill="FFFFFF"/>
          <w:lang w:eastAsia="uk-UA"/>
        </w:rPr>
        <w:t xml:space="preserve">и оцінки кожного з визначених </w:t>
      </w:r>
      <w:r w:rsidR="00EF34AB" w:rsidRPr="00C643B7">
        <w:rPr>
          <w:rFonts w:ascii="Times New Roman" w:eastAsia="Times New Roman" w:hAnsi="Times New Roman"/>
          <w:iCs/>
          <w:color w:val="000000"/>
          <w:sz w:val="28"/>
          <w:szCs w:val="28"/>
          <w:shd w:val="clear" w:color="auto" w:fill="FFFFFF"/>
          <w:lang w:eastAsia="uk-UA"/>
        </w:rPr>
        <w:t xml:space="preserve">критеріїв </w:t>
      </w:r>
      <w:r w:rsidRPr="00C643B7">
        <w:rPr>
          <w:rFonts w:ascii="Times New Roman" w:eastAsia="Times New Roman" w:hAnsi="Times New Roman"/>
          <w:iCs/>
          <w:color w:val="000000"/>
          <w:sz w:val="28"/>
          <w:szCs w:val="28"/>
          <w:shd w:val="clear" w:color="auto" w:fill="FFFFFF"/>
          <w:lang w:eastAsia="uk-UA"/>
        </w:rPr>
        <w:t xml:space="preserve">у пункті </w:t>
      </w:r>
      <w:r w:rsidR="00EF34AB" w:rsidRPr="00C643B7">
        <w:rPr>
          <w:rFonts w:ascii="Times New Roman" w:eastAsia="Times New Roman" w:hAnsi="Times New Roman"/>
          <w:iCs/>
          <w:color w:val="000000"/>
          <w:sz w:val="28"/>
          <w:szCs w:val="28"/>
          <w:shd w:val="clear" w:color="auto" w:fill="FFFFFF"/>
          <w:lang w:eastAsia="uk-UA"/>
        </w:rPr>
        <w:t>8</w:t>
      </w:r>
      <w:r w:rsidRPr="00C643B7">
        <w:rPr>
          <w:rFonts w:ascii="Times New Roman" w:eastAsia="Times New Roman" w:hAnsi="Times New Roman"/>
          <w:iCs/>
          <w:color w:val="000000"/>
          <w:sz w:val="28"/>
          <w:szCs w:val="28"/>
          <w:shd w:val="clear" w:color="auto" w:fill="FFFFFF"/>
          <w:lang w:eastAsia="uk-UA"/>
        </w:rPr>
        <w:t xml:space="preserve"> розділу ІІ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Pr="00C643B7">
        <w:rPr>
          <w:rFonts w:ascii="Times New Roman" w:eastAsia="Times New Roman" w:hAnsi="Times New Roman"/>
          <w:iCs/>
          <w:color w:val="000000"/>
          <w:sz w:val="28"/>
          <w:szCs w:val="28"/>
          <w:shd w:val="clear" w:color="auto" w:fill="FFFFFF"/>
          <w:lang w:eastAsia="uk-UA"/>
        </w:rPr>
        <w:t xml:space="preserve"> визначається ступінь ризику учасника ринку небанківських фінансових послуг,</w:t>
      </w:r>
      <w:r w:rsidRPr="00C643B7">
        <w:rPr>
          <w:rFonts w:ascii="Times New Roman" w:eastAsia="SimSun" w:hAnsi="Times New Roman"/>
          <w:sz w:val="24"/>
          <w:szCs w:val="24"/>
          <w:lang w:eastAsia="uk-UA"/>
        </w:rPr>
        <w:t xml:space="preserve"> </w:t>
      </w:r>
      <w:r w:rsidRPr="00C643B7">
        <w:rPr>
          <w:rFonts w:ascii="Times New Roman" w:eastAsia="Times New Roman" w:hAnsi="Times New Roman"/>
          <w:iCs/>
          <w:color w:val="000000"/>
          <w:sz w:val="28"/>
          <w:szCs w:val="28"/>
          <w:shd w:val="clear" w:color="auto" w:fill="FFFFFF"/>
          <w:lang w:eastAsia="uk-UA"/>
        </w:rPr>
        <w:t xml:space="preserve">при цьому кожен з </w:t>
      </w:r>
      <w:r w:rsidR="00EF34AB" w:rsidRPr="00C643B7">
        <w:rPr>
          <w:rFonts w:ascii="Times New Roman" w:eastAsia="Times New Roman" w:hAnsi="Times New Roman"/>
          <w:iCs/>
          <w:color w:val="000000"/>
          <w:sz w:val="28"/>
          <w:szCs w:val="28"/>
          <w:shd w:val="clear" w:color="auto" w:fill="FFFFFF"/>
          <w:lang w:eastAsia="uk-UA"/>
        </w:rPr>
        <w:t>показників критеріїв</w:t>
      </w:r>
      <w:r w:rsidRPr="00C643B7">
        <w:rPr>
          <w:rFonts w:ascii="Times New Roman" w:eastAsia="Times New Roman" w:hAnsi="Times New Roman"/>
          <w:iCs/>
          <w:color w:val="000000"/>
          <w:sz w:val="28"/>
          <w:szCs w:val="28"/>
          <w:shd w:val="clear" w:color="auto" w:fill="FFFFFF"/>
          <w:lang w:eastAsia="uk-UA"/>
        </w:rPr>
        <w:t xml:space="preserve">, в залежності від виду учасника ринку небанківських фінансових послуг також має свою вагу у </w:t>
      </w:r>
      <w:r w:rsidR="00F416D2" w:rsidRPr="00C643B7">
        <w:rPr>
          <w:rFonts w:ascii="Times New Roman" w:eastAsia="Times New Roman" w:hAnsi="Times New Roman"/>
          <w:iCs/>
          <w:color w:val="000000"/>
          <w:sz w:val="28"/>
          <w:szCs w:val="28"/>
          <w:shd w:val="clear" w:color="auto" w:fill="FFFFFF"/>
          <w:lang w:eastAsia="uk-UA"/>
        </w:rPr>
        <w:t>ступені</w:t>
      </w:r>
      <w:r w:rsidRPr="00C643B7">
        <w:rPr>
          <w:rFonts w:ascii="Times New Roman" w:eastAsia="Times New Roman" w:hAnsi="Times New Roman"/>
          <w:iCs/>
          <w:color w:val="000000"/>
          <w:sz w:val="28"/>
          <w:szCs w:val="28"/>
          <w:shd w:val="clear" w:color="auto" w:fill="FFFFFF"/>
          <w:lang w:eastAsia="uk-UA"/>
        </w:rPr>
        <w:t xml:space="preserve"> ризику, яка наведена в додатках 1 ‒ </w:t>
      </w:r>
      <w:r w:rsidR="006B1FD1" w:rsidRPr="00C643B7">
        <w:rPr>
          <w:rFonts w:ascii="Times New Roman" w:eastAsia="Times New Roman" w:hAnsi="Times New Roman"/>
          <w:iCs/>
          <w:color w:val="000000"/>
          <w:sz w:val="28"/>
          <w:szCs w:val="28"/>
          <w:shd w:val="clear" w:color="auto" w:fill="FFFFFF"/>
          <w:lang w:eastAsia="uk-UA"/>
        </w:rPr>
        <w:t>3</w:t>
      </w:r>
      <w:r w:rsidRPr="00C643B7">
        <w:rPr>
          <w:rFonts w:ascii="Times New Roman" w:eastAsia="Times New Roman" w:hAnsi="Times New Roman"/>
          <w:iCs/>
          <w:color w:val="000000"/>
          <w:sz w:val="28"/>
          <w:szCs w:val="28"/>
          <w:shd w:val="clear" w:color="auto" w:fill="FFFFFF"/>
          <w:lang w:eastAsia="uk-UA"/>
        </w:rPr>
        <w:t xml:space="preserve"> до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Pr="00C643B7">
        <w:rPr>
          <w:rFonts w:ascii="Times New Roman" w:eastAsia="Times New Roman" w:hAnsi="Times New Roman"/>
          <w:iCs/>
          <w:color w:val="000000"/>
          <w:sz w:val="28"/>
          <w:szCs w:val="28"/>
          <w:shd w:val="clear" w:color="auto" w:fill="FFFFFF"/>
          <w:lang w:eastAsia="uk-UA"/>
        </w:rPr>
        <w:t xml:space="preserve">. </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iCs/>
          <w:color w:val="000000"/>
          <w:sz w:val="28"/>
          <w:szCs w:val="28"/>
          <w:shd w:val="clear" w:color="auto" w:fill="FFFFFF"/>
          <w:lang w:eastAsia="uk-UA"/>
        </w:rPr>
        <w:t>1</w:t>
      </w:r>
      <w:r w:rsidR="00D97DF9" w:rsidRPr="00C643B7">
        <w:rPr>
          <w:rFonts w:ascii="Times New Roman" w:eastAsia="Times New Roman" w:hAnsi="Times New Roman"/>
          <w:iCs/>
          <w:color w:val="000000"/>
          <w:sz w:val="28"/>
          <w:szCs w:val="28"/>
          <w:shd w:val="clear" w:color="auto" w:fill="FFFFFF"/>
          <w:lang w:eastAsia="uk-UA"/>
        </w:rPr>
        <w:t>8</w:t>
      </w:r>
      <w:r w:rsidRPr="00C643B7">
        <w:rPr>
          <w:rFonts w:ascii="Times New Roman" w:eastAsia="Times New Roman" w:hAnsi="Times New Roman"/>
          <w:iCs/>
          <w:color w:val="000000"/>
          <w:sz w:val="28"/>
          <w:szCs w:val="28"/>
          <w:shd w:val="clear" w:color="auto" w:fill="FFFFFF"/>
          <w:lang w:eastAsia="uk-UA"/>
        </w:rPr>
        <w:t xml:space="preserve">. </w:t>
      </w:r>
      <w:r w:rsidR="00F416D2" w:rsidRPr="00C643B7">
        <w:rPr>
          <w:rFonts w:ascii="Times New Roman" w:eastAsia="Times New Roman" w:hAnsi="Times New Roman"/>
          <w:iCs/>
          <w:color w:val="000000"/>
          <w:sz w:val="28"/>
          <w:szCs w:val="28"/>
          <w:shd w:val="clear" w:color="auto" w:fill="FFFFFF"/>
          <w:lang w:eastAsia="uk-UA"/>
        </w:rPr>
        <w:t>С</w:t>
      </w:r>
      <w:r w:rsidRPr="00C643B7">
        <w:rPr>
          <w:rFonts w:ascii="Times New Roman" w:eastAsia="Times New Roman" w:hAnsi="Times New Roman"/>
          <w:iCs/>
          <w:color w:val="000000"/>
          <w:sz w:val="28"/>
          <w:szCs w:val="28"/>
          <w:shd w:val="clear" w:color="auto" w:fill="FFFFFF"/>
          <w:lang w:eastAsia="uk-UA"/>
        </w:rPr>
        <w:t>тупінь ризику учасника ринку небанківських фінансових послуг означає:</w:t>
      </w:r>
    </w:p>
    <w:p w:rsidR="003B2A82" w:rsidRPr="00C643B7" w:rsidRDefault="003B2A82" w:rsidP="004646FD">
      <w:pPr>
        <w:spacing w:after="0" w:line="240" w:lineRule="auto"/>
        <w:ind w:firstLine="708"/>
        <w:jc w:val="both"/>
        <w:rPr>
          <w:rFonts w:ascii="Times New Roman" w:eastAsia="Times New Roman" w:hAnsi="Times New Roman"/>
          <w:iCs/>
          <w:color w:val="000000"/>
          <w:sz w:val="28"/>
          <w:szCs w:val="28"/>
          <w:shd w:val="clear" w:color="auto" w:fill="FFFFFF"/>
          <w:lang w:eastAsia="uk-UA"/>
        </w:rPr>
      </w:pPr>
    </w:p>
    <w:p w:rsidR="003B2A82" w:rsidRPr="00C643B7" w:rsidRDefault="009F2C8F" w:rsidP="004646FD">
      <w:pPr>
        <w:pStyle w:val="a6"/>
        <w:numPr>
          <w:ilvl w:val="0"/>
          <w:numId w:val="12"/>
        </w:numPr>
        <w:spacing w:after="0" w:line="240" w:lineRule="auto"/>
        <w:jc w:val="both"/>
        <w:rPr>
          <w:rFonts w:ascii="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hAnsi="Times New Roman"/>
          <w:iCs/>
          <w:color w:val="000000"/>
          <w:sz w:val="28"/>
          <w:szCs w:val="28"/>
          <w:shd w:val="clear" w:color="auto" w:fill="FFFFFF"/>
          <w:lang w:val="uk-UA" w:eastAsia="uk-UA"/>
        </w:rPr>
        <w:t>1” ‒ низький ступінь ризику;</w:t>
      </w:r>
    </w:p>
    <w:p w:rsidR="003B2A82" w:rsidRPr="00C643B7" w:rsidRDefault="003B2A82" w:rsidP="004646FD">
      <w:pPr>
        <w:spacing w:after="0" w:line="240" w:lineRule="auto"/>
        <w:ind w:firstLine="708"/>
        <w:jc w:val="both"/>
        <w:rPr>
          <w:rFonts w:ascii="Times New Roman" w:hAnsi="Times New Roman"/>
          <w:iCs/>
          <w:color w:val="000000"/>
          <w:sz w:val="28"/>
          <w:szCs w:val="28"/>
          <w:shd w:val="clear" w:color="auto" w:fill="FFFFFF"/>
          <w:lang w:eastAsia="uk-UA"/>
        </w:rPr>
      </w:pPr>
    </w:p>
    <w:p w:rsidR="003B2A82" w:rsidRPr="00C643B7" w:rsidRDefault="009F2C8F" w:rsidP="004646FD">
      <w:pPr>
        <w:pStyle w:val="a6"/>
        <w:numPr>
          <w:ilvl w:val="0"/>
          <w:numId w:val="12"/>
        </w:numPr>
        <w:spacing w:after="0" w:line="240" w:lineRule="auto"/>
        <w:jc w:val="both"/>
        <w:rPr>
          <w:rFonts w:ascii="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hAnsi="Times New Roman"/>
          <w:iCs/>
          <w:color w:val="000000"/>
          <w:sz w:val="28"/>
          <w:szCs w:val="28"/>
          <w:shd w:val="clear" w:color="auto" w:fill="FFFFFF"/>
          <w:lang w:val="uk-UA" w:eastAsia="uk-UA"/>
        </w:rPr>
        <w:t>2” ‒  середній ступінь ризику;</w:t>
      </w:r>
    </w:p>
    <w:p w:rsidR="003B2A82" w:rsidRPr="00C643B7" w:rsidRDefault="003B2A82" w:rsidP="004646FD">
      <w:pPr>
        <w:spacing w:after="0" w:line="240" w:lineRule="auto"/>
        <w:ind w:firstLine="708"/>
        <w:jc w:val="both"/>
        <w:rPr>
          <w:rFonts w:ascii="Times New Roman" w:hAnsi="Times New Roman"/>
          <w:iCs/>
          <w:color w:val="000000"/>
          <w:sz w:val="28"/>
          <w:szCs w:val="28"/>
          <w:shd w:val="clear" w:color="auto" w:fill="FFFFFF"/>
          <w:lang w:eastAsia="uk-UA"/>
        </w:rPr>
      </w:pPr>
    </w:p>
    <w:p w:rsidR="003B2A82" w:rsidRPr="00C643B7" w:rsidRDefault="009F2C8F" w:rsidP="004646FD">
      <w:pPr>
        <w:pStyle w:val="a6"/>
        <w:numPr>
          <w:ilvl w:val="0"/>
          <w:numId w:val="12"/>
        </w:numPr>
        <w:spacing w:after="0" w:line="240" w:lineRule="auto"/>
        <w:jc w:val="both"/>
        <w:rPr>
          <w:rFonts w:ascii="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hAnsi="Times New Roman"/>
          <w:iCs/>
          <w:color w:val="000000"/>
          <w:sz w:val="28"/>
          <w:szCs w:val="28"/>
          <w:shd w:val="clear" w:color="auto" w:fill="FFFFFF"/>
          <w:lang w:val="uk-UA" w:eastAsia="uk-UA"/>
        </w:rPr>
        <w:t>3” – високий ступінь ризику;</w:t>
      </w:r>
    </w:p>
    <w:p w:rsidR="003B2A82" w:rsidRPr="00C643B7" w:rsidRDefault="003B2A82" w:rsidP="004646FD">
      <w:pPr>
        <w:spacing w:after="0" w:line="240" w:lineRule="auto"/>
        <w:ind w:firstLine="708"/>
        <w:jc w:val="both"/>
        <w:rPr>
          <w:rFonts w:ascii="Times New Roman" w:hAnsi="Times New Roman"/>
          <w:iCs/>
          <w:color w:val="000000"/>
          <w:sz w:val="28"/>
          <w:szCs w:val="28"/>
          <w:shd w:val="clear" w:color="auto" w:fill="FFFFFF"/>
          <w:lang w:eastAsia="uk-UA"/>
        </w:rPr>
      </w:pPr>
    </w:p>
    <w:p w:rsidR="003B2A82" w:rsidRPr="00C643B7" w:rsidRDefault="009F2C8F" w:rsidP="004646FD">
      <w:pPr>
        <w:pStyle w:val="a6"/>
        <w:numPr>
          <w:ilvl w:val="0"/>
          <w:numId w:val="12"/>
        </w:numPr>
        <w:spacing w:after="0" w:line="240" w:lineRule="auto"/>
        <w:jc w:val="both"/>
        <w:rPr>
          <w:rFonts w:ascii="Times New Roman" w:hAnsi="Times New Roman"/>
          <w:iCs/>
          <w:color w:val="000000"/>
          <w:sz w:val="28"/>
          <w:szCs w:val="28"/>
          <w:shd w:val="clear" w:color="auto" w:fill="FFFFFF"/>
          <w:lang w:val="uk-UA" w:eastAsia="uk-UA"/>
        </w:rPr>
      </w:pPr>
      <w:r w:rsidRPr="00C643B7">
        <w:rPr>
          <w:rFonts w:ascii="Times New Roman" w:eastAsia="Times New Roman" w:hAnsi="Times New Roman"/>
          <w:iCs/>
          <w:color w:val="000000"/>
          <w:sz w:val="28"/>
          <w:szCs w:val="28"/>
          <w:shd w:val="clear" w:color="auto" w:fill="FFFFFF"/>
          <w:lang w:val="uk-UA" w:eastAsia="uk-UA"/>
        </w:rPr>
        <w:t>“</w:t>
      </w:r>
      <w:r w:rsidR="003B2A82" w:rsidRPr="00C643B7">
        <w:rPr>
          <w:rFonts w:ascii="Times New Roman" w:hAnsi="Times New Roman"/>
          <w:iCs/>
          <w:color w:val="000000"/>
          <w:sz w:val="28"/>
          <w:szCs w:val="28"/>
          <w:shd w:val="clear" w:color="auto" w:fill="FFFFFF"/>
          <w:lang w:val="uk-UA" w:eastAsia="uk-UA"/>
        </w:rPr>
        <w:t xml:space="preserve">4” ‒ критичний ступінь ризику. </w:t>
      </w:r>
    </w:p>
    <w:p w:rsidR="003B2A82" w:rsidRPr="00C643B7" w:rsidRDefault="003B2A82" w:rsidP="004646FD">
      <w:pPr>
        <w:spacing w:after="0" w:line="240" w:lineRule="auto"/>
        <w:ind w:firstLine="708"/>
        <w:jc w:val="both"/>
        <w:rPr>
          <w:rFonts w:ascii="Times New Roman" w:hAnsi="Times New Roman"/>
          <w:iCs/>
          <w:color w:val="000000"/>
          <w:sz w:val="28"/>
          <w:szCs w:val="28"/>
          <w:shd w:val="clear" w:color="auto" w:fill="FFFFFF"/>
          <w:lang w:eastAsia="uk-UA"/>
        </w:rPr>
      </w:pPr>
    </w:p>
    <w:p w:rsidR="003B2A82" w:rsidRPr="00C643B7" w:rsidRDefault="00C2288E" w:rsidP="004646FD">
      <w:pPr>
        <w:spacing w:after="0" w:line="240" w:lineRule="auto"/>
        <w:ind w:firstLine="708"/>
        <w:jc w:val="both"/>
        <w:rPr>
          <w:rFonts w:ascii="Times New Roman" w:hAnsi="Times New Roman"/>
          <w:sz w:val="28"/>
          <w:szCs w:val="28"/>
          <w:lang w:eastAsia="uk-UA"/>
        </w:rPr>
      </w:pPr>
      <w:r w:rsidRPr="00C643B7">
        <w:rPr>
          <w:rFonts w:ascii="Times New Roman" w:hAnsi="Times New Roman"/>
          <w:sz w:val="28"/>
          <w:szCs w:val="28"/>
          <w:lang w:eastAsia="uk-UA"/>
        </w:rPr>
        <w:t>1</w:t>
      </w:r>
      <w:r w:rsidR="00D97DF9" w:rsidRPr="00C643B7">
        <w:rPr>
          <w:rFonts w:ascii="Times New Roman" w:hAnsi="Times New Roman"/>
          <w:sz w:val="28"/>
          <w:szCs w:val="28"/>
          <w:lang w:eastAsia="uk-UA"/>
        </w:rPr>
        <w:t>9</w:t>
      </w:r>
      <w:r w:rsidR="003B2A82" w:rsidRPr="00C643B7">
        <w:rPr>
          <w:rFonts w:ascii="Times New Roman" w:hAnsi="Times New Roman"/>
          <w:sz w:val="28"/>
          <w:szCs w:val="28"/>
          <w:lang w:eastAsia="uk-UA"/>
        </w:rPr>
        <w:t>. Національний банк, згідно з критеріями</w:t>
      </w:r>
      <w:r w:rsidR="00806508" w:rsidRPr="00C643B7">
        <w:rPr>
          <w:rFonts w:ascii="Times New Roman" w:hAnsi="Times New Roman"/>
          <w:sz w:val="28"/>
          <w:szCs w:val="28"/>
          <w:lang w:eastAsia="uk-UA"/>
        </w:rPr>
        <w:t>,</w:t>
      </w:r>
      <w:r w:rsidR="003B2A82" w:rsidRPr="00C643B7">
        <w:rPr>
          <w:rFonts w:ascii="Times New Roman" w:hAnsi="Times New Roman"/>
          <w:sz w:val="28"/>
          <w:szCs w:val="28"/>
          <w:lang w:eastAsia="uk-UA"/>
        </w:rPr>
        <w:t xml:space="preserve"> які визначені у додатках 4 ‒ 6 до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003B2A82" w:rsidRPr="00C643B7">
        <w:rPr>
          <w:rFonts w:ascii="Times New Roman" w:hAnsi="Times New Roman"/>
          <w:sz w:val="28"/>
          <w:szCs w:val="28"/>
          <w:lang w:eastAsia="uk-UA"/>
        </w:rPr>
        <w:t>, відносить учасника ринку небанківських фінансових послуг до однієї з таких груп суспільної важливості</w:t>
      </w:r>
      <w:r w:rsidR="00EF6C76" w:rsidRPr="00C643B7">
        <w:rPr>
          <w:rFonts w:ascii="Times New Roman" w:hAnsi="Times New Roman"/>
          <w:sz w:val="28"/>
          <w:szCs w:val="28"/>
          <w:lang w:eastAsia="uk-UA"/>
        </w:rPr>
        <w:t xml:space="preserve">, </w:t>
      </w:r>
      <w:r w:rsidR="00EF6C76" w:rsidRPr="00C643B7">
        <w:rPr>
          <w:rFonts w:ascii="Times New Roman" w:eastAsia="Times New Roman" w:hAnsi="Times New Roman"/>
          <w:sz w:val="28"/>
          <w:szCs w:val="28"/>
          <w:lang w:eastAsia="uk-UA"/>
        </w:rPr>
        <w:t>враховуючи його види діяльності, розмір, обсяги (частку) на ринку фінансових послуг, структуру, а також інші показники</w:t>
      </w:r>
      <w:r w:rsidR="003B2A82" w:rsidRPr="00C643B7">
        <w:rPr>
          <w:rFonts w:ascii="Times New Roman" w:hAnsi="Times New Roman"/>
          <w:sz w:val="28"/>
          <w:szCs w:val="28"/>
          <w:lang w:eastAsia="uk-UA"/>
        </w:rPr>
        <w:t>:</w:t>
      </w:r>
    </w:p>
    <w:p w:rsidR="003B2A82" w:rsidRPr="00C643B7" w:rsidRDefault="003B2A82" w:rsidP="004646FD">
      <w:pPr>
        <w:spacing w:after="0" w:line="240" w:lineRule="auto"/>
        <w:ind w:firstLine="708"/>
        <w:jc w:val="both"/>
        <w:rPr>
          <w:rFonts w:ascii="Times New Roman" w:hAnsi="Times New Roman"/>
          <w:sz w:val="28"/>
          <w:szCs w:val="28"/>
          <w:lang w:eastAsia="uk-UA"/>
        </w:rPr>
      </w:pPr>
    </w:p>
    <w:p w:rsidR="003B2A82" w:rsidRPr="00C643B7" w:rsidRDefault="003B2A82" w:rsidP="004646FD">
      <w:pPr>
        <w:numPr>
          <w:ilvl w:val="0"/>
          <w:numId w:val="1"/>
        </w:numPr>
        <w:tabs>
          <w:tab w:val="left" w:pos="1134"/>
        </w:tabs>
        <w:spacing w:after="0" w:line="240" w:lineRule="auto"/>
        <w:ind w:left="0" w:firstLine="709"/>
        <w:contextualSpacing/>
        <w:jc w:val="both"/>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група 1;</w:t>
      </w:r>
    </w:p>
    <w:p w:rsidR="003B2A82" w:rsidRPr="00C643B7" w:rsidRDefault="003B2A82" w:rsidP="004646FD">
      <w:pPr>
        <w:tabs>
          <w:tab w:val="left" w:pos="1134"/>
        </w:tabs>
        <w:spacing w:line="240" w:lineRule="auto"/>
        <w:ind w:firstLine="709"/>
        <w:contextualSpacing/>
        <w:jc w:val="both"/>
        <w:rPr>
          <w:rFonts w:ascii="Times New Roman" w:eastAsia="Times New Roman" w:hAnsi="Times New Roman"/>
          <w:sz w:val="28"/>
          <w:szCs w:val="28"/>
          <w:lang w:eastAsia="uk-UA"/>
        </w:rPr>
      </w:pPr>
    </w:p>
    <w:p w:rsidR="003B2A82" w:rsidRPr="00C643B7" w:rsidRDefault="003B2A82" w:rsidP="004646FD">
      <w:pPr>
        <w:numPr>
          <w:ilvl w:val="0"/>
          <w:numId w:val="1"/>
        </w:numPr>
        <w:tabs>
          <w:tab w:val="left" w:pos="1134"/>
        </w:tabs>
        <w:spacing w:after="0" w:line="240" w:lineRule="auto"/>
        <w:ind w:left="0" w:firstLine="709"/>
        <w:contextualSpacing/>
        <w:jc w:val="both"/>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група 2;</w:t>
      </w:r>
    </w:p>
    <w:p w:rsidR="003B2A82" w:rsidRPr="00C643B7" w:rsidRDefault="003B2A82" w:rsidP="004646FD">
      <w:pPr>
        <w:tabs>
          <w:tab w:val="left" w:pos="1134"/>
        </w:tabs>
        <w:spacing w:after="0" w:line="240" w:lineRule="auto"/>
        <w:ind w:firstLine="709"/>
        <w:jc w:val="both"/>
        <w:rPr>
          <w:rFonts w:ascii="Times New Roman" w:eastAsia="Times New Roman" w:hAnsi="Times New Roman"/>
          <w:sz w:val="28"/>
          <w:szCs w:val="28"/>
          <w:lang w:eastAsia="uk-UA"/>
        </w:rPr>
      </w:pPr>
    </w:p>
    <w:p w:rsidR="003B2A82" w:rsidRPr="00C643B7" w:rsidRDefault="003B2A82" w:rsidP="004646FD">
      <w:pPr>
        <w:numPr>
          <w:ilvl w:val="0"/>
          <w:numId w:val="1"/>
        </w:numPr>
        <w:tabs>
          <w:tab w:val="left" w:pos="1134"/>
        </w:tabs>
        <w:spacing w:after="0" w:line="240" w:lineRule="auto"/>
        <w:ind w:left="0" w:firstLine="709"/>
        <w:contextualSpacing/>
        <w:jc w:val="both"/>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група 3;</w:t>
      </w:r>
    </w:p>
    <w:p w:rsidR="003B2A82" w:rsidRPr="00C643B7" w:rsidRDefault="003B2A82" w:rsidP="004646FD">
      <w:pPr>
        <w:tabs>
          <w:tab w:val="left" w:pos="1134"/>
        </w:tabs>
        <w:spacing w:after="0" w:line="240" w:lineRule="auto"/>
        <w:ind w:firstLine="709"/>
        <w:contextualSpacing/>
        <w:jc w:val="both"/>
        <w:rPr>
          <w:rFonts w:ascii="Times New Roman" w:eastAsia="Times New Roman" w:hAnsi="Times New Roman"/>
          <w:sz w:val="28"/>
          <w:szCs w:val="28"/>
          <w:lang w:eastAsia="uk-UA"/>
        </w:rPr>
      </w:pPr>
    </w:p>
    <w:p w:rsidR="003B2A82" w:rsidRPr="00C643B7" w:rsidRDefault="003B2A82" w:rsidP="004646FD">
      <w:pPr>
        <w:tabs>
          <w:tab w:val="left" w:pos="1134"/>
        </w:tabs>
        <w:spacing w:after="0" w:line="240" w:lineRule="auto"/>
        <w:ind w:firstLine="709"/>
        <w:jc w:val="both"/>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4) </w:t>
      </w:r>
      <w:r w:rsidR="00EF6C76" w:rsidRPr="00C643B7">
        <w:rPr>
          <w:rFonts w:ascii="Times New Roman" w:eastAsia="Times New Roman" w:hAnsi="Times New Roman"/>
          <w:sz w:val="28"/>
          <w:szCs w:val="28"/>
          <w:lang w:val="ru-RU" w:eastAsia="uk-UA"/>
        </w:rPr>
        <w:t xml:space="preserve"> </w:t>
      </w:r>
      <w:r w:rsidRPr="00C643B7">
        <w:rPr>
          <w:rFonts w:ascii="Times New Roman" w:eastAsia="Times New Roman" w:hAnsi="Times New Roman"/>
          <w:sz w:val="28"/>
          <w:szCs w:val="28"/>
          <w:lang w:eastAsia="uk-UA"/>
        </w:rPr>
        <w:t>група 4</w:t>
      </w:r>
      <w:r w:rsidRPr="00C643B7">
        <w:rPr>
          <w:rFonts w:ascii="Times New Roman" w:eastAsia="Times New Roman" w:hAnsi="Times New Roman"/>
          <w:iCs/>
          <w:color w:val="000000"/>
          <w:sz w:val="28"/>
          <w:szCs w:val="28"/>
          <w:shd w:val="clear" w:color="auto" w:fill="FFFFFF"/>
          <w:lang w:eastAsia="uk-UA"/>
        </w:rPr>
        <w:t>.</w:t>
      </w:r>
    </w:p>
    <w:p w:rsidR="003B2A82" w:rsidRPr="00C643B7" w:rsidRDefault="003B2A82" w:rsidP="004646FD">
      <w:pPr>
        <w:spacing w:after="0" w:line="240" w:lineRule="auto"/>
        <w:ind w:firstLine="709"/>
        <w:jc w:val="both"/>
        <w:rPr>
          <w:rFonts w:ascii="Times New Roman" w:eastAsia="Times New Roman" w:hAnsi="Times New Roman"/>
          <w:sz w:val="28"/>
          <w:szCs w:val="28"/>
          <w:lang w:eastAsia="uk-UA"/>
        </w:rPr>
      </w:pPr>
    </w:p>
    <w:p w:rsidR="003B2A82" w:rsidRPr="00C643B7" w:rsidRDefault="003B2A82"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ІІІ. Визначення періодичності проведення планових інспекційних перевірок</w:t>
      </w:r>
    </w:p>
    <w:p w:rsidR="003B2A82" w:rsidRPr="00C643B7" w:rsidRDefault="003B2A82" w:rsidP="004646FD">
      <w:pPr>
        <w:spacing w:after="0" w:line="240" w:lineRule="auto"/>
        <w:ind w:firstLine="709"/>
        <w:jc w:val="both"/>
        <w:rPr>
          <w:rFonts w:ascii="Times New Roman" w:eastAsia="Times New Roman" w:hAnsi="Times New Roman"/>
          <w:sz w:val="28"/>
          <w:szCs w:val="28"/>
          <w:lang w:eastAsia="uk-UA"/>
        </w:rPr>
      </w:pPr>
    </w:p>
    <w:p w:rsidR="003B2A82" w:rsidRPr="00C643B7" w:rsidRDefault="00D97DF9" w:rsidP="004646FD">
      <w:pPr>
        <w:spacing w:after="0" w:line="240" w:lineRule="auto"/>
        <w:ind w:firstLine="709"/>
        <w:jc w:val="both"/>
        <w:rPr>
          <w:rFonts w:ascii="Times New Roman" w:eastAsia="Times New Roman" w:hAnsi="Times New Roman"/>
          <w:iCs/>
          <w:color w:val="000000"/>
          <w:sz w:val="28"/>
          <w:szCs w:val="28"/>
          <w:shd w:val="clear" w:color="auto" w:fill="FFFFFF"/>
          <w:lang w:eastAsia="uk-UA"/>
        </w:rPr>
      </w:pPr>
      <w:r w:rsidRPr="00C643B7">
        <w:rPr>
          <w:rFonts w:ascii="Times New Roman" w:eastAsia="Times New Roman" w:hAnsi="Times New Roman"/>
          <w:sz w:val="28"/>
          <w:szCs w:val="28"/>
          <w:lang w:eastAsia="uk-UA"/>
        </w:rPr>
        <w:t>20</w:t>
      </w:r>
      <w:r w:rsidR="003B2A82" w:rsidRPr="00C643B7">
        <w:rPr>
          <w:rFonts w:ascii="Times New Roman" w:eastAsia="Times New Roman" w:hAnsi="Times New Roman"/>
          <w:sz w:val="28"/>
          <w:szCs w:val="28"/>
          <w:lang w:eastAsia="uk-UA"/>
        </w:rPr>
        <w:t xml:space="preserve">. Періодичність проведення планових інспекційних перевірок учасників ринку небанківських фінансових послуг визначається Національним банком на підставі </w:t>
      </w:r>
      <w:r w:rsidR="003B2A82" w:rsidRPr="00C643B7">
        <w:rPr>
          <w:rFonts w:ascii="Times New Roman" w:eastAsia="Times New Roman" w:hAnsi="Times New Roman"/>
          <w:iCs/>
          <w:color w:val="000000"/>
          <w:sz w:val="28"/>
          <w:szCs w:val="28"/>
          <w:shd w:val="clear" w:color="auto" w:fill="FFFFFF"/>
          <w:lang w:eastAsia="uk-UA"/>
        </w:rPr>
        <w:t xml:space="preserve">матриці, наведеної в </w:t>
      </w:r>
      <w:r w:rsidR="005E1C54" w:rsidRPr="00C643B7">
        <w:rPr>
          <w:rFonts w:ascii="Times New Roman" w:eastAsia="Times New Roman" w:hAnsi="Times New Roman"/>
          <w:iCs/>
          <w:color w:val="000000"/>
          <w:sz w:val="28"/>
          <w:szCs w:val="28"/>
          <w:shd w:val="clear" w:color="auto" w:fill="FFFFFF"/>
          <w:lang w:eastAsia="uk-UA"/>
        </w:rPr>
        <w:t xml:space="preserve">додатку </w:t>
      </w:r>
      <w:r w:rsidR="00E01FC4" w:rsidRPr="00C643B7">
        <w:rPr>
          <w:rFonts w:ascii="Times New Roman" w:eastAsia="Times New Roman" w:hAnsi="Times New Roman"/>
          <w:iCs/>
          <w:color w:val="000000"/>
          <w:sz w:val="28"/>
          <w:szCs w:val="28"/>
          <w:shd w:val="clear" w:color="auto" w:fill="FFFFFF"/>
          <w:lang w:eastAsia="uk-UA"/>
        </w:rPr>
        <w:t>7</w:t>
      </w:r>
      <w:r w:rsidR="003B2A82" w:rsidRPr="00C643B7">
        <w:rPr>
          <w:rFonts w:ascii="Times New Roman" w:eastAsia="Times New Roman" w:hAnsi="Times New Roman"/>
          <w:iCs/>
          <w:color w:val="000000"/>
          <w:sz w:val="28"/>
          <w:szCs w:val="28"/>
          <w:shd w:val="clear" w:color="auto" w:fill="FFFFFF"/>
          <w:lang w:eastAsia="uk-UA"/>
        </w:rPr>
        <w:t>.</w:t>
      </w:r>
    </w:p>
    <w:p w:rsidR="005E1C54" w:rsidRPr="00C643B7" w:rsidRDefault="005E1C54" w:rsidP="004646FD">
      <w:pPr>
        <w:spacing w:after="0" w:line="240" w:lineRule="auto"/>
        <w:ind w:firstLine="708"/>
        <w:jc w:val="both"/>
        <w:rPr>
          <w:rFonts w:ascii="Times New Roman" w:eastAsia="Times New Roman" w:hAnsi="Times New Roman"/>
          <w:sz w:val="28"/>
          <w:szCs w:val="28"/>
          <w:lang w:eastAsia="uk-UA"/>
        </w:rPr>
      </w:pPr>
    </w:p>
    <w:p w:rsidR="007F500D" w:rsidRPr="00C643B7" w:rsidRDefault="003B2A82" w:rsidP="004646FD">
      <w:pPr>
        <w:spacing w:after="0" w:line="240" w:lineRule="auto"/>
        <w:ind w:firstLine="708"/>
        <w:jc w:val="both"/>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w:t>
      </w:r>
      <w:r w:rsidR="00D97DF9" w:rsidRPr="00C643B7">
        <w:rPr>
          <w:rFonts w:ascii="Times New Roman" w:eastAsia="Times New Roman" w:hAnsi="Times New Roman"/>
          <w:sz w:val="28"/>
          <w:szCs w:val="28"/>
          <w:lang w:eastAsia="uk-UA"/>
        </w:rPr>
        <w:t>1</w:t>
      </w:r>
      <w:r w:rsidRPr="00C643B7">
        <w:rPr>
          <w:rFonts w:ascii="Times New Roman" w:eastAsia="Times New Roman" w:hAnsi="Times New Roman"/>
          <w:sz w:val="28"/>
          <w:szCs w:val="28"/>
          <w:lang w:eastAsia="uk-UA"/>
        </w:rPr>
        <w:t>.</w:t>
      </w:r>
      <w:r w:rsidRPr="00C643B7">
        <w:rPr>
          <w:rFonts w:ascii="Times New Roman" w:eastAsia="SimSun" w:hAnsi="Times New Roman"/>
          <w:color w:val="333333"/>
          <w:sz w:val="28"/>
          <w:szCs w:val="28"/>
          <w:shd w:val="clear" w:color="auto" w:fill="FFFFFF"/>
          <w:lang w:eastAsia="uk-UA"/>
        </w:rPr>
        <w:t xml:space="preserve"> </w:t>
      </w:r>
      <w:r w:rsidR="007F500D" w:rsidRPr="00C643B7">
        <w:rPr>
          <w:rFonts w:ascii="Times New Roman" w:eastAsia="Times New Roman" w:hAnsi="Times New Roman"/>
          <w:color w:val="000000" w:themeColor="text1"/>
          <w:sz w:val="28"/>
          <w:szCs w:val="28"/>
          <w:lang w:eastAsia="uk-UA"/>
        </w:rPr>
        <w:t>Національний банк складає план проведення інспекційних перевірок учасників ринку небанківських фінансових послуг з урахуванням періодичності</w:t>
      </w:r>
      <w:r w:rsidR="002B0063" w:rsidRPr="00C643B7">
        <w:rPr>
          <w:rFonts w:ascii="Times New Roman" w:eastAsia="Times New Roman" w:hAnsi="Times New Roman"/>
          <w:color w:val="000000" w:themeColor="text1"/>
          <w:sz w:val="28"/>
          <w:szCs w:val="28"/>
          <w:lang w:eastAsia="uk-UA"/>
        </w:rPr>
        <w:t xml:space="preserve"> наведеної </w:t>
      </w:r>
      <w:r w:rsidR="00E01FC4" w:rsidRPr="00C643B7">
        <w:rPr>
          <w:rFonts w:ascii="Times New Roman" w:eastAsia="Times New Roman" w:hAnsi="Times New Roman"/>
          <w:color w:val="000000" w:themeColor="text1"/>
          <w:sz w:val="28"/>
          <w:szCs w:val="28"/>
          <w:lang w:eastAsia="uk-UA"/>
        </w:rPr>
        <w:t xml:space="preserve">відповідно до </w:t>
      </w:r>
      <w:r w:rsidR="002B0063" w:rsidRPr="00C643B7">
        <w:rPr>
          <w:rFonts w:ascii="Times New Roman" w:eastAsia="Times New Roman" w:hAnsi="Times New Roman"/>
          <w:color w:val="000000" w:themeColor="text1"/>
          <w:sz w:val="28"/>
          <w:szCs w:val="28"/>
          <w:lang w:eastAsia="uk-UA"/>
        </w:rPr>
        <w:t>пункт</w:t>
      </w:r>
      <w:r w:rsidR="00E01FC4" w:rsidRPr="00C643B7">
        <w:rPr>
          <w:rFonts w:ascii="Times New Roman" w:eastAsia="Times New Roman" w:hAnsi="Times New Roman"/>
          <w:color w:val="000000" w:themeColor="text1"/>
          <w:sz w:val="28"/>
          <w:szCs w:val="28"/>
          <w:lang w:eastAsia="uk-UA"/>
        </w:rPr>
        <w:t>у</w:t>
      </w:r>
      <w:r w:rsidR="002B0063" w:rsidRPr="00C643B7">
        <w:rPr>
          <w:rFonts w:ascii="Times New Roman" w:eastAsia="Times New Roman" w:hAnsi="Times New Roman"/>
          <w:color w:val="000000" w:themeColor="text1"/>
          <w:sz w:val="28"/>
          <w:szCs w:val="28"/>
          <w:lang w:eastAsia="uk-UA"/>
        </w:rPr>
        <w:t xml:space="preserve"> 20 розділу ІІІ </w:t>
      </w:r>
      <w:r w:rsidR="007E4B5C" w:rsidRPr="00C643B7">
        <w:rPr>
          <w:rFonts w:ascii="Times New Roman" w:eastAsia="Times New Roman" w:hAnsi="Times New Roman"/>
          <w:iCs/>
          <w:color w:val="000000"/>
          <w:sz w:val="28"/>
          <w:szCs w:val="28"/>
          <w:shd w:val="clear" w:color="auto" w:fill="FFFFFF"/>
          <w:lang w:eastAsia="uk-UA"/>
        </w:rPr>
        <w:t>цього Положення</w:t>
      </w:r>
      <w:r w:rsidR="007F500D" w:rsidRPr="00C643B7">
        <w:rPr>
          <w:rFonts w:ascii="Times New Roman" w:eastAsia="Times New Roman" w:hAnsi="Times New Roman"/>
          <w:color w:val="000000" w:themeColor="text1"/>
          <w:sz w:val="28"/>
          <w:szCs w:val="28"/>
          <w:lang w:eastAsia="uk-UA"/>
        </w:rPr>
        <w:t>, наявних наглядових ресурсів та пріоритетів, а також наступного</w:t>
      </w:r>
      <w:r w:rsidR="007F500D" w:rsidRPr="00C643B7">
        <w:rPr>
          <w:rFonts w:ascii="Times New Roman" w:eastAsia="Times New Roman" w:hAnsi="Times New Roman"/>
          <w:sz w:val="28"/>
          <w:szCs w:val="28"/>
          <w:lang w:eastAsia="uk-UA"/>
        </w:rPr>
        <w:t>:</w:t>
      </w:r>
    </w:p>
    <w:p w:rsidR="003B2A82" w:rsidRPr="00C643B7" w:rsidRDefault="003B2A82" w:rsidP="004646FD">
      <w:pPr>
        <w:spacing w:after="0" w:line="240" w:lineRule="auto"/>
        <w:ind w:firstLine="708"/>
        <w:jc w:val="both"/>
        <w:rPr>
          <w:rFonts w:ascii="Times New Roman" w:eastAsia="Times New Roman" w:hAnsi="Times New Roman"/>
          <w:sz w:val="28"/>
          <w:szCs w:val="28"/>
          <w:lang w:eastAsia="uk-UA"/>
        </w:rPr>
      </w:pPr>
    </w:p>
    <w:p w:rsidR="003B2A82" w:rsidRPr="00C643B7" w:rsidRDefault="003B2A82" w:rsidP="004646FD">
      <w:pPr>
        <w:spacing w:after="0" w:line="240" w:lineRule="auto"/>
        <w:ind w:firstLine="708"/>
        <w:jc w:val="both"/>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планова інспекційна перевірка кожного учасника ринку небанківських фінансових послуг проводитися не частіше одного разу на рік;</w:t>
      </w:r>
    </w:p>
    <w:p w:rsidR="003B2A82" w:rsidRPr="00C643B7" w:rsidRDefault="003B2A82" w:rsidP="004646FD">
      <w:pPr>
        <w:spacing w:after="0" w:line="240" w:lineRule="auto"/>
        <w:ind w:firstLine="708"/>
        <w:jc w:val="both"/>
        <w:rPr>
          <w:rFonts w:ascii="Times New Roman" w:eastAsia="Times New Roman" w:hAnsi="Times New Roman"/>
          <w:sz w:val="28"/>
          <w:szCs w:val="28"/>
          <w:lang w:eastAsia="uk-UA"/>
        </w:rPr>
      </w:pPr>
    </w:p>
    <w:p w:rsidR="003B2A82" w:rsidRPr="00C643B7" w:rsidRDefault="007F500D" w:rsidP="004646FD">
      <w:pPr>
        <w:spacing w:after="0" w:line="240" w:lineRule="auto"/>
        <w:ind w:firstLine="708"/>
        <w:jc w:val="both"/>
        <w:rPr>
          <w:rFonts w:ascii="Times New Roman" w:eastAsia="Times New Roman" w:hAnsi="Times New Roman"/>
          <w:bCs/>
          <w:color w:val="000000"/>
          <w:sz w:val="28"/>
          <w:szCs w:val="28"/>
          <w:lang w:eastAsia="uk-UA"/>
        </w:rPr>
      </w:pPr>
      <w:r w:rsidRPr="00C643B7">
        <w:rPr>
          <w:rFonts w:ascii="Times New Roman" w:eastAsia="Times New Roman" w:hAnsi="Times New Roman"/>
          <w:sz w:val="28"/>
          <w:szCs w:val="28"/>
          <w:lang w:eastAsia="uk-UA"/>
        </w:rPr>
        <w:t xml:space="preserve">2) планові інспекційні перевірки </w:t>
      </w:r>
      <w:r w:rsidR="003D2B35" w:rsidRPr="00C643B7">
        <w:rPr>
          <w:rFonts w:ascii="Times New Roman" w:eastAsia="Times New Roman" w:hAnsi="Times New Roman"/>
          <w:sz w:val="28"/>
          <w:szCs w:val="28"/>
          <w:lang w:eastAsia="uk-UA"/>
        </w:rPr>
        <w:t>уча</w:t>
      </w:r>
      <w:r w:rsidR="0034533B" w:rsidRPr="00C643B7">
        <w:rPr>
          <w:rFonts w:ascii="Times New Roman" w:eastAsia="Times New Roman" w:hAnsi="Times New Roman"/>
          <w:sz w:val="28"/>
          <w:szCs w:val="28"/>
          <w:lang w:eastAsia="uk-UA"/>
        </w:rPr>
        <w:t>с</w:t>
      </w:r>
      <w:r w:rsidR="003D2B35" w:rsidRPr="00C643B7">
        <w:rPr>
          <w:rFonts w:ascii="Times New Roman" w:eastAsia="Times New Roman" w:hAnsi="Times New Roman"/>
          <w:sz w:val="28"/>
          <w:szCs w:val="28"/>
          <w:lang w:eastAsia="uk-UA"/>
        </w:rPr>
        <w:t>ників</w:t>
      </w:r>
      <w:r w:rsidR="00E01FC4" w:rsidRPr="00C643B7">
        <w:rPr>
          <w:rFonts w:ascii="Times New Roman" w:eastAsia="Times New Roman" w:hAnsi="Times New Roman"/>
          <w:sz w:val="28"/>
          <w:szCs w:val="28"/>
          <w:lang w:eastAsia="uk-UA"/>
        </w:rPr>
        <w:t xml:space="preserve"> ринку небанківських фінансових послуг</w:t>
      </w:r>
      <w:r w:rsidRPr="00C643B7">
        <w:rPr>
          <w:rFonts w:ascii="Times New Roman" w:eastAsia="Times New Roman" w:hAnsi="Times New Roman"/>
          <w:sz w:val="28"/>
          <w:szCs w:val="28"/>
          <w:lang w:eastAsia="uk-UA"/>
        </w:rPr>
        <w:t>, які є учасниками фінансової групи, нагляд на консолідованій основі за якою здійснює Національний банк, плануються одночасно з плановою інспекційною перевіркою відповідальної особи такої фінансової групи</w:t>
      </w:r>
      <w:r w:rsidR="00096045" w:rsidRPr="00C643B7">
        <w:rPr>
          <w:rFonts w:ascii="Times New Roman" w:eastAsia="Times New Roman" w:hAnsi="Times New Roman"/>
          <w:sz w:val="28"/>
          <w:szCs w:val="28"/>
          <w:lang w:eastAsia="uk-UA"/>
        </w:rPr>
        <w:t>.</w:t>
      </w:r>
    </w:p>
    <w:p w:rsidR="004272C9" w:rsidRPr="00C643B7" w:rsidRDefault="004272C9" w:rsidP="004646FD">
      <w:pPr>
        <w:spacing w:line="240" w:lineRule="auto"/>
        <w:sectPr w:rsidR="004272C9" w:rsidRPr="00C643B7" w:rsidSect="00A644A9">
          <w:headerReference w:type="default" r:id="rId12"/>
          <w:pgSz w:w="11906" w:h="16838"/>
          <w:pgMar w:top="850" w:right="850" w:bottom="850" w:left="1417" w:header="708" w:footer="708" w:gutter="0"/>
          <w:pgNumType w:start="1"/>
          <w:cols w:space="708"/>
          <w:titlePg/>
          <w:docGrid w:linePitch="360"/>
        </w:sectPr>
      </w:pPr>
    </w:p>
    <w:p w:rsidR="009E6AA5" w:rsidRPr="00C643B7" w:rsidRDefault="009E6AA5" w:rsidP="004646FD">
      <w:pPr>
        <w:pStyle w:val="a6"/>
        <w:spacing w:after="0" w:line="240" w:lineRule="auto"/>
        <w:ind w:left="10490"/>
        <w:jc w:val="both"/>
        <w:rPr>
          <w:rFonts w:ascii="Times New Roman" w:hAnsi="Times New Roman"/>
          <w:sz w:val="28"/>
          <w:szCs w:val="28"/>
          <w:lang w:val="uk-UA"/>
        </w:rPr>
      </w:pPr>
      <w:r w:rsidRPr="00C643B7">
        <w:rPr>
          <w:rFonts w:ascii="Times New Roman" w:hAnsi="Times New Roman"/>
          <w:sz w:val="28"/>
          <w:szCs w:val="28"/>
          <w:lang w:val="uk-UA"/>
        </w:rPr>
        <w:lastRenderedPageBreak/>
        <w:t>Додаток 1</w:t>
      </w:r>
    </w:p>
    <w:p w:rsidR="00AE2B7E" w:rsidRPr="00C643B7" w:rsidRDefault="009E6AA5" w:rsidP="004646FD">
      <w:pPr>
        <w:keepNext/>
        <w:spacing w:after="0" w:line="240" w:lineRule="auto"/>
        <w:ind w:left="10490"/>
        <w:jc w:val="both"/>
        <w:outlineLvl w:val="2"/>
        <w:rPr>
          <w:rFonts w:ascii="Times New Roman" w:eastAsia="Times New Roman" w:hAnsi="Times New Roman"/>
          <w:b/>
          <w:bCs/>
          <w:color w:val="000000"/>
          <w:sz w:val="28"/>
          <w:szCs w:val="28"/>
          <w:lang w:eastAsia="uk-UA"/>
        </w:rPr>
      </w:pPr>
      <w:r w:rsidRPr="00C643B7">
        <w:rPr>
          <w:rFonts w:ascii="Times New Roman" w:hAnsi="Times New Roman"/>
          <w:sz w:val="28"/>
          <w:szCs w:val="28"/>
        </w:rPr>
        <w:t xml:space="preserve">до </w:t>
      </w:r>
      <w:r w:rsidR="00AE2B7E" w:rsidRPr="00C643B7">
        <w:rPr>
          <w:rFonts w:ascii="Times New Roman" w:eastAsia="Times New Roman" w:hAnsi="Times New Roman"/>
          <w:bCs/>
          <w:color w:val="000000"/>
          <w:sz w:val="28"/>
          <w:szCs w:val="28"/>
          <w:lang w:eastAsia="uk-UA"/>
        </w:rPr>
        <w:t>Положення про встановлення критеріїв,</w:t>
      </w:r>
      <w:r w:rsidR="004A7C7C" w:rsidRPr="00C643B7">
        <w:rPr>
          <w:rFonts w:ascii="Times New Roman" w:eastAsia="Times New Roman" w:hAnsi="Times New Roman"/>
          <w:bCs/>
          <w:color w:val="000000"/>
          <w:sz w:val="28"/>
          <w:szCs w:val="28"/>
          <w:lang w:eastAsia="uk-UA"/>
        </w:rPr>
        <w:t xml:space="preserve"> </w:t>
      </w:r>
      <w:r w:rsidR="00AE2B7E" w:rsidRPr="00C643B7">
        <w:rPr>
          <w:rFonts w:ascii="Times New Roman" w:eastAsia="Times New Roman" w:hAnsi="Times New Roman"/>
          <w:bCs/>
          <w:color w:val="000000"/>
          <w:sz w:val="28"/>
          <w:szCs w:val="28"/>
          <w:lang w:eastAsia="uk-UA"/>
        </w:rPr>
        <w:t>за якими оцінюється ступінь ризику від здійснення діяльності учасниками ринку небанківських фінансових послуг</w:t>
      </w:r>
      <w:r w:rsidR="004A7C7C" w:rsidRPr="00C643B7">
        <w:rPr>
          <w:rFonts w:ascii="Times New Roman" w:eastAsia="Times New Roman" w:hAnsi="Times New Roman"/>
          <w:bCs/>
          <w:color w:val="000000"/>
          <w:sz w:val="28"/>
          <w:szCs w:val="28"/>
          <w:lang w:eastAsia="uk-UA"/>
        </w:rPr>
        <w:t>,</w:t>
      </w:r>
      <w:r w:rsidR="00AE2B7E" w:rsidRPr="00C643B7">
        <w:rPr>
          <w:rFonts w:ascii="Times New Roman" w:eastAsia="Times New Roman" w:hAnsi="Times New Roman"/>
          <w:bCs/>
          <w:color w:val="000000"/>
          <w:sz w:val="28"/>
          <w:szCs w:val="28"/>
          <w:lang w:eastAsia="uk-UA"/>
        </w:rPr>
        <w:t xml:space="preserve"> їх суспільну важливість, на підставі яких визначається періодичність проведення планових інспекційних перевірок, та поряд</w:t>
      </w:r>
      <w:r w:rsidR="004A7C7C" w:rsidRPr="00C643B7">
        <w:rPr>
          <w:rFonts w:ascii="Times New Roman" w:eastAsia="Times New Roman" w:hAnsi="Times New Roman"/>
          <w:bCs/>
          <w:color w:val="000000"/>
          <w:sz w:val="28"/>
          <w:szCs w:val="28"/>
          <w:lang w:eastAsia="uk-UA"/>
        </w:rPr>
        <w:t>о</w:t>
      </w:r>
      <w:r w:rsidR="00AE2B7E" w:rsidRPr="00C643B7">
        <w:rPr>
          <w:rFonts w:ascii="Times New Roman" w:eastAsia="Times New Roman" w:hAnsi="Times New Roman"/>
          <w:bCs/>
          <w:color w:val="000000"/>
          <w:sz w:val="28"/>
          <w:szCs w:val="28"/>
          <w:lang w:eastAsia="uk-UA"/>
        </w:rPr>
        <w:t>к їх застосування</w:t>
      </w:r>
    </w:p>
    <w:p w:rsidR="009E6AA5" w:rsidRPr="00C643B7" w:rsidRDefault="009E6AA5" w:rsidP="004646FD">
      <w:pPr>
        <w:pStyle w:val="a6"/>
        <w:spacing w:line="240" w:lineRule="auto"/>
        <w:ind w:left="10490"/>
        <w:jc w:val="both"/>
        <w:rPr>
          <w:rFonts w:ascii="Times New Roman" w:hAnsi="Times New Roman"/>
          <w:b/>
          <w:bCs/>
          <w:color w:val="000000"/>
          <w:sz w:val="28"/>
          <w:szCs w:val="28"/>
          <w:shd w:val="clear" w:color="auto" w:fill="FFFFFF"/>
          <w:lang w:val="uk-UA"/>
        </w:rPr>
      </w:pPr>
      <w:r w:rsidRPr="00C643B7">
        <w:rPr>
          <w:rFonts w:ascii="Times New Roman" w:hAnsi="Times New Roman"/>
          <w:sz w:val="28"/>
          <w:szCs w:val="28"/>
          <w:lang w:val="uk-UA"/>
        </w:rPr>
        <w:t xml:space="preserve">(пункт </w:t>
      </w:r>
      <w:r w:rsidR="00E26C2F" w:rsidRPr="00C643B7">
        <w:rPr>
          <w:rFonts w:ascii="Times New Roman" w:hAnsi="Times New Roman"/>
          <w:sz w:val="28"/>
          <w:szCs w:val="28"/>
          <w:lang w:val="uk-UA"/>
        </w:rPr>
        <w:t>9</w:t>
      </w:r>
      <w:r w:rsidR="002B0063" w:rsidRPr="00C643B7">
        <w:rPr>
          <w:rFonts w:ascii="Times New Roman" w:hAnsi="Times New Roman"/>
          <w:sz w:val="28"/>
          <w:szCs w:val="28"/>
          <w:lang w:val="uk-UA"/>
        </w:rPr>
        <w:t xml:space="preserve"> </w:t>
      </w:r>
      <w:r w:rsidRPr="00C643B7">
        <w:rPr>
          <w:rFonts w:ascii="Times New Roman" w:hAnsi="Times New Roman"/>
          <w:sz w:val="28"/>
          <w:szCs w:val="28"/>
          <w:lang w:val="uk-UA"/>
        </w:rPr>
        <w:t>розділу II)</w:t>
      </w:r>
    </w:p>
    <w:p w:rsidR="009E6AA5" w:rsidRPr="00C643B7" w:rsidRDefault="004E30C6" w:rsidP="004646FD">
      <w:pPr>
        <w:spacing w:line="240" w:lineRule="auto"/>
        <w:jc w:val="center"/>
        <w:rPr>
          <w:rFonts w:ascii="Times New Roman" w:hAnsi="Times New Roman"/>
          <w:bCs/>
          <w:color w:val="000000"/>
          <w:sz w:val="28"/>
          <w:szCs w:val="28"/>
          <w:shd w:val="clear" w:color="auto" w:fill="FFFFFF"/>
        </w:rPr>
      </w:pPr>
      <w:r w:rsidRPr="00C643B7">
        <w:rPr>
          <w:rFonts w:ascii="Times New Roman" w:hAnsi="Times New Roman"/>
          <w:bCs/>
          <w:color w:val="000000"/>
          <w:sz w:val="28"/>
          <w:szCs w:val="28"/>
          <w:shd w:val="clear" w:color="auto" w:fill="FFFFFF"/>
        </w:rPr>
        <w:t>Критерії оцінки ступеню ризику страховика</w:t>
      </w:r>
    </w:p>
    <w:tbl>
      <w:tblPr>
        <w:tblpPr w:leftFromText="180" w:rightFromText="180" w:vertAnchor="text" w:tblpY="1"/>
        <w:tblOverlap w:val="never"/>
        <w:tblW w:w="1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4"/>
        <w:gridCol w:w="2982"/>
        <w:gridCol w:w="3827"/>
        <w:gridCol w:w="3402"/>
        <w:gridCol w:w="3260"/>
        <w:gridCol w:w="3260"/>
        <w:gridCol w:w="1418"/>
      </w:tblGrid>
      <w:tr w:rsidR="008543F3" w:rsidRPr="00C643B7" w:rsidTr="003863AF">
        <w:trPr>
          <w:cantSplit/>
          <w:tblHeader/>
        </w:trPr>
        <w:tc>
          <w:tcPr>
            <w:tcW w:w="704" w:type="dxa"/>
          </w:tcPr>
          <w:p w:rsidR="008543F3" w:rsidRPr="00C643B7" w:rsidRDefault="008543F3" w:rsidP="004646FD">
            <w:pPr>
              <w:spacing w:line="240" w:lineRule="auto"/>
              <w:jc w:val="center"/>
              <w:rPr>
                <w:rFonts w:ascii="Times New Roman" w:hAnsi="Times New Roman"/>
                <w:sz w:val="28"/>
                <w:szCs w:val="28"/>
              </w:rPr>
            </w:pPr>
            <w:r w:rsidRPr="00C643B7">
              <w:rPr>
                <w:rFonts w:ascii="Times New Roman" w:hAnsi="Times New Roman"/>
                <w:sz w:val="28"/>
                <w:szCs w:val="28"/>
              </w:rPr>
              <w:t>№</w:t>
            </w:r>
          </w:p>
          <w:p w:rsidR="008543F3" w:rsidRPr="00C643B7" w:rsidRDefault="008543F3" w:rsidP="004646FD">
            <w:pPr>
              <w:spacing w:line="240" w:lineRule="auto"/>
              <w:jc w:val="center"/>
              <w:rPr>
                <w:rFonts w:ascii="Times New Roman" w:hAnsi="Times New Roman"/>
                <w:sz w:val="28"/>
                <w:szCs w:val="28"/>
              </w:rPr>
            </w:pPr>
            <w:r w:rsidRPr="00C643B7">
              <w:rPr>
                <w:rFonts w:ascii="Times New Roman" w:hAnsi="Times New Roman"/>
                <w:sz w:val="28"/>
                <w:szCs w:val="28"/>
              </w:rPr>
              <w:t>з/п</w:t>
            </w:r>
          </w:p>
        </w:tc>
        <w:tc>
          <w:tcPr>
            <w:tcW w:w="704" w:type="dxa"/>
            <w:shd w:val="clear" w:color="auto" w:fill="auto"/>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w:t>
            </w:r>
          </w:p>
          <w:p w:rsidR="009B47F6" w:rsidRPr="00C643B7" w:rsidRDefault="009B47F6" w:rsidP="004646FD">
            <w:pPr>
              <w:spacing w:line="240" w:lineRule="auto"/>
              <w:rPr>
                <w:rFonts w:ascii="Times New Roman" w:hAnsi="Times New Roman"/>
                <w:sz w:val="28"/>
                <w:szCs w:val="28"/>
              </w:rPr>
            </w:pPr>
            <w:r w:rsidRPr="00C643B7">
              <w:rPr>
                <w:rFonts w:ascii="Times New Roman" w:hAnsi="Times New Roman"/>
                <w:sz w:val="28"/>
                <w:szCs w:val="28"/>
              </w:rPr>
              <w:t>Критеріїв/показників</w:t>
            </w:r>
          </w:p>
        </w:tc>
        <w:tc>
          <w:tcPr>
            <w:tcW w:w="2982" w:type="dxa"/>
            <w:shd w:val="clear" w:color="auto" w:fill="auto"/>
          </w:tcPr>
          <w:p w:rsidR="004870E4" w:rsidRPr="00C643B7" w:rsidRDefault="004870E4" w:rsidP="004646FD">
            <w:pPr>
              <w:spacing w:line="240" w:lineRule="auto"/>
              <w:jc w:val="center"/>
              <w:rPr>
                <w:rFonts w:ascii="Times New Roman" w:hAnsi="Times New Roman"/>
                <w:sz w:val="28"/>
                <w:szCs w:val="28"/>
              </w:rPr>
            </w:pPr>
          </w:p>
          <w:p w:rsidR="004870E4" w:rsidRPr="00C643B7" w:rsidRDefault="004870E4" w:rsidP="004646FD">
            <w:pPr>
              <w:spacing w:line="240" w:lineRule="auto"/>
              <w:jc w:val="center"/>
              <w:rPr>
                <w:rFonts w:ascii="Times New Roman" w:hAnsi="Times New Roman"/>
                <w:sz w:val="28"/>
                <w:szCs w:val="28"/>
              </w:rPr>
            </w:pPr>
          </w:p>
          <w:p w:rsidR="008543F3" w:rsidRPr="00C643B7" w:rsidRDefault="008543F3" w:rsidP="004646FD">
            <w:pPr>
              <w:spacing w:line="240" w:lineRule="auto"/>
              <w:jc w:val="center"/>
              <w:rPr>
                <w:rFonts w:ascii="Times New Roman" w:hAnsi="Times New Roman"/>
                <w:sz w:val="28"/>
                <w:szCs w:val="28"/>
              </w:rPr>
            </w:pPr>
            <w:r w:rsidRPr="00C643B7">
              <w:rPr>
                <w:rFonts w:ascii="Times New Roman" w:hAnsi="Times New Roman"/>
                <w:sz w:val="28"/>
                <w:szCs w:val="28"/>
              </w:rPr>
              <w:t>Назви критеріїв та їх показників</w:t>
            </w:r>
          </w:p>
        </w:tc>
        <w:tc>
          <w:tcPr>
            <w:tcW w:w="3827" w:type="dxa"/>
            <w:shd w:val="clear" w:color="auto" w:fill="auto"/>
          </w:tcPr>
          <w:p w:rsidR="004870E4" w:rsidRPr="00C643B7" w:rsidRDefault="004870E4" w:rsidP="004646FD">
            <w:pPr>
              <w:spacing w:line="240" w:lineRule="auto"/>
              <w:jc w:val="center"/>
              <w:rPr>
                <w:rFonts w:ascii="Times New Roman" w:hAnsi="Times New Roman"/>
                <w:bCs/>
                <w:sz w:val="28"/>
                <w:szCs w:val="28"/>
              </w:rPr>
            </w:pPr>
          </w:p>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“1” </w:t>
            </w:r>
          </w:p>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(низький ступінь ризику)</w:t>
            </w:r>
          </w:p>
        </w:tc>
        <w:tc>
          <w:tcPr>
            <w:tcW w:w="3402" w:type="dxa"/>
            <w:shd w:val="clear" w:color="auto" w:fill="auto"/>
          </w:tcPr>
          <w:p w:rsidR="004870E4" w:rsidRPr="00C643B7" w:rsidRDefault="004870E4" w:rsidP="004646FD">
            <w:pPr>
              <w:spacing w:line="240" w:lineRule="auto"/>
              <w:jc w:val="center"/>
              <w:rPr>
                <w:rFonts w:ascii="Times New Roman" w:hAnsi="Times New Roman"/>
                <w:bCs/>
                <w:sz w:val="28"/>
                <w:szCs w:val="28"/>
              </w:rPr>
            </w:pPr>
          </w:p>
          <w:p w:rsidR="00A774A1"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“2</w:t>
            </w:r>
            <w:r w:rsidR="00BF680D" w:rsidRPr="00C643B7">
              <w:rPr>
                <w:rFonts w:ascii="Times New Roman" w:hAnsi="Times New Roman"/>
                <w:bCs/>
                <w:sz w:val="28"/>
                <w:szCs w:val="28"/>
              </w:rPr>
              <w:t>”</w:t>
            </w:r>
          </w:p>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(середній ступінь ризику)</w:t>
            </w:r>
          </w:p>
        </w:tc>
        <w:tc>
          <w:tcPr>
            <w:tcW w:w="3260" w:type="dxa"/>
            <w:shd w:val="clear" w:color="auto" w:fill="auto"/>
          </w:tcPr>
          <w:p w:rsidR="004870E4" w:rsidRPr="00C643B7" w:rsidRDefault="004870E4" w:rsidP="004646FD">
            <w:pPr>
              <w:spacing w:line="240" w:lineRule="auto"/>
              <w:jc w:val="center"/>
              <w:rPr>
                <w:rFonts w:ascii="Times New Roman" w:hAnsi="Times New Roman"/>
                <w:bCs/>
                <w:sz w:val="28"/>
                <w:szCs w:val="28"/>
              </w:rPr>
            </w:pPr>
          </w:p>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“3</w:t>
            </w:r>
            <w:r w:rsidR="00BF680D" w:rsidRPr="00C643B7">
              <w:rPr>
                <w:rFonts w:ascii="Times New Roman" w:hAnsi="Times New Roman"/>
                <w:bCs/>
                <w:sz w:val="28"/>
                <w:szCs w:val="28"/>
              </w:rPr>
              <w:t>”</w:t>
            </w:r>
            <w:r w:rsidRPr="00C643B7">
              <w:rPr>
                <w:rFonts w:ascii="Times New Roman" w:hAnsi="Times New Roman"/>
                <w:bCs/>
                <w:sz w:val="28"/>
                <w:szCs w:val="28"/>
              </w:rPr>
              <w:t xml:space="preserve"> </w:t>
            </w:r>
          </w:p>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(високий ступінь ризику)</w:t>
            </w:r>
          </w:p>
        </w:tc>
        <w:tc>
          <w:tcPr>
            <w:tcW w:w="3260" w:type="dxa"/>
            <w:shd w:val="clear" w:color="auto" w:fill="auto"/>
          </w:tcPr>
          <w:p w:rsidR="004870E4" w:rsidRPr="00C643B7" w:rsidRDefault="004870E4" w:rsidP="004646FD">
            <w:pPr>
              <w:spacing w:line="240" w:lineRule="auto"/>
              <w:jc w:val="center"/>
              <w:rPr>
                <w:rFonts w:ascii="Times New Roman" w:hAnsi="Times New Roman"/>
                <w:bCs/>
                <w:sz w:val="28"/>
                <w:szCs w:val="28"/>
              </w:rPr>
            </w:pPr>
          </w:p>
          <w:p w:rsidR="008543F3" w:rsidRPr="00C643B7" w:rsidRDefault="00BF680D" w:rsidP="004646FD">
            <w:pPr>
              <w:spacing w:line="240" w:lineRule="auto"/>
              <w:jc w:val="center"/>
              <w:rPr>
                <w:rFonts w:ascii="Times New Roman" w:hAnsi="Times New Roman"/>
                <w:bCs/>
                <w:sz w:val="28"/>
                <w:szCs w:val="28"/>
              </w:rPr>
            </w:pPr>
            <w:r w:rsidRPr="00C643B7">
              <w:rPr>
                <w:rFonts w:ascii="Times New Roman" w:hAnsi="Times New Roman"/>
                <w:bCs/>
                <w:sz w:val="28"/>
                <w:szCs w:val="28"/>
              </w:rPr>
              <w:t>“4”</w:t>
            </w:r>
          </w:p>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(критичний ступінь ризику)</w:t>
            </w:r>
          </w:p>
        </w:tc>
        <w:tc>
          <w:tcPr>
            <w:tcW w:w="1418" w:type="dxa"/>
            <w:shd w:val="clear" w:color="auto" w:fill="auto"/>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Вага критерію в ступені ризику/ Вага показника в критерії, %</w:t>
            </w:r>
          </w:p>
        </w:tc>
      </w:tr>
    </w:tbl>
    <w:p w:rsidR="0082540A" w:rsidRPr="00C643B7" w:rsidRDefault="0082540A" w:rsidP="004646FD">
      <w:pPr>
        <w:spacing w:after="0" w:line="240" w:lineRule="auto"/>
        <w:rPr>
          <w:sz w:val="2"/>
          <w:szCs w:val="2"/>
        </w:rPr>
      </w:pPr>
    </w:p>
    <w:tbl>
      <w:tblPr>
        <w:tblW w:w="1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704"/>
        <w:gridCol w:w="704"/>
        <w:gridCol w:w="2982"/>
        <w:gridCol w:w="3827"/>
        <w:gridCol w:w="3402"/>
        <w:gridCol w:w="3260"/>
        <w:gridCol w:w="3260"/>
        <w:gridCol w:w="1418"/>
      </w:tblGrid>
      <w:tr w:rsidR="008543F3" w:rsidRPr="00C643B7" w:rsidTr="003863AF">
        <w:trPr>
          <w:tblHeader/>
        </w:trPr>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704" w:type="dxa"/>
            <w:shd w:val="clear" w:color="auto" w:fill="auto"/>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c>
          <w:tcPr>
            <w:tcW w:w="2982" w:type="dxa"/>
            <w:shd w:val="clear" w:color="auto" w:fill="auto"/>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3827" w:type="dxa"/>
            <w:shd w:val="clear" w:color="auto" w:fill="auto"/>
          </w:tcPr>
          <w:p w:rsidR="008543F3" w:rsidRPr="00C643B7" w:rsidRDefault="009B47F6" w:rsidP="004646FD">
            <w:pPr>
              <w:spacing w:line="240" w:lineRule="auto"/>
              <w:jc w:val="center"/>
              <w:rPr>
                <w:rFonts w:ascii="Times New Roman" w:hAnsi="Times New Roman"/>
                <w:bCs/>
                <w:sz w:val="28"/>
                <w:szCs w:val="28"/>
              </w:rPr>
            </w:pPr>
            <w:r w:rsidRPr="00C643B7">
              <w:rPr>
                <w:rFonts w:ascii="Times New Roman" w:hAnsi="Times New Roman"/>
                <w:bCs/>
                <w:sz w:val="28"/>
                <w:szCs w:val="28"/>
              </w:rPr>
              <w:t>4</w:t>
            </w:r>
          </w:p>
        </w:tc>
        <w:tc>
          <w:tcPr>
            <w:tcW w:w="3402" w:type="dxa"/>
            <w:shd w:val="clear" w:color="auto" w:fill="auto"/>
          </w:tcPr>
          <w:p w:rsidR="008543F3" w:rsidRPr="00C643B7" w:rsidRDefault="009B47F6" w:rsidP="004646FD">
            <w:pPr>
              <w:spacing w:line="240" w:lineRule="auto"/>
              <w:jc w:val="center"/>
              <w:rPr>
                <w:rFonts w:ascii="Times New Roman" w:hAnsi="Times New Roman"/>
                <w:bCs/>
                <w:sz w:val="28"/>
                <w:szCs w:val="28"/>
              </w:rPr>
            </w:pPr>
            <w:r w:rsidRPr="00C643B7">
              <w:rPr>
                <w:rFonts w:ascii="Times New Roman" w:hAnsi="Times New Roman"/>
                <w:bCs/>
                <w:sz w:val="28"/>
                <w:szCs w:val="28"/>
              </w:rPr>
              <w:t>5</w:t>
            </w:r>
          </w:p>
        </w:tc>
        <w:tc>
          <w:tcPr>
            <w:tcW w:w="3260" w:type="dxa"/>
            <w:shd w:val="clear" w:color="auto" w:fill="auto"/>
          </w:tcPr>
          <w:p w:rsidR="008543F3" w:rsidRPr="00C643B7" w:rsidRDefault="009B47F6" w:rsidP="004646FD">
            <w:pPr>
              <w:spacing w:line="240" w:lineRule="auto"/>
              <w:jc w:val="center"/>
              <w:rPr>
                <w:rFonts w:ascii="Times New Roman" w:hAnsi="Times New Roman"/>
                <w:bCs/>
                <w:sz w:val="28"/>
                <w:szCs w:val="28"/>
              </w:rPr>
            </w:pPr>
            <w:r w:rsidRPr="00C643B7">
              <w:rPr>
                <w:rFonts w:ascii="Times New Roman" w:hAnsi="Times New Roman"/>
                <w:bCs/>
                <w:sz w:val="28"/>
                <w:szCs w:val="28"/>
              </w:rPr>
              <w:t>6</w:t>
            </w:r>
          </w:p>
        </w:tc>
        <w:tc>
          <w:tcPr>
            <w:tcW w:w="3260" w:type="dxa"/>
            <w:shd w:val="clear" w:color="auto" w:fill="auto"/>
          </w:tcPr>
          <w:p w:rsidR="008543F3" w:rsidRPr="00C643B7" w:rsidRDefault="009B47F6" w:rsidP="004646FD">
            <w:pPr>
              <w:spacing w:line="240" w:lineRule="auto"/>
              <w:jc w:val="center"/>
              <w:rPr>
                <w:rFonts w:ascii="Times New Roman" w:hAnsi="Times New Roman"/>
                <w:bCs/>
                <w:sz w:val="28"/>
                <w:szCs w:val="28"/>
              </w:rPr>
            </w:pPr>
            <w:r w:rsidRPr="00C643B7">
              <w:rPr>
                <w:rFonts w:ascii="Times New Roman" w:hAnsi="Times New Roman"/>
                <w:bCs/>
                <w:sz w:val="28"/>
                <w:szCs w:val="28"/>
              </w:rPr>
              <w:t>7</w:t>
            </w:r>
          </w:p>
        </w:tc>
        <w:tc>
          <w:tcPr>
            <w:tcW w:w="1418" w:type="dxa"/>
            <w:shd w:val="clear" w:color="auto" w:fill="auto"/>
          </w:tcPr>
          <w:p w:rsidR="008543F3" w:rsidRPr="00C643B7" w:rsidRDefault="009B47F6" w:rsidP="004646FD">
            <w:pPr>
              <w:spacing w:line="240" w:lineRule="auto"/>
              <w:jc w:val="center"/>
              <w:rPr>
                <w:rFonts w:ascii="Times New Roman" w:hAnsi="Times New Roman"/>
                <w:bCs/>
                <w:sz w:val="28"/>
                <w:szCs w:val="28"/>
              </w:rPr>
            </w:pPr>
            <w:r w:rsidRPr="00C643B7">
              <w:rPr>
                <w:rFonts w:ascii="Times New Roman" w:hAnsi="Times New Roman"/>
                <w:bCs/>
                <w:sz w:val="28"/>
                <w:szCs w:val="28"/>
              </w:rPr>
              <w:t>8</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704" w:type="dxa"/>
            <w:shd w:val="clear" w:color="auto" w:fill="auto"/>
          </w:tcPr>
          <w:p w:rsidR="008543F3" w:rsidRPr="00C643B7" w:rsidRDefault="008543F3" w:rsidP="004646FD">
            <w:pPr>
              <w:spacing w:line="240" w:lineRule="auto"/>
              <w:jc w:val="center"/>
              <w:rPr>
                <w:rFonts w:ascii="Times New Roman" w:hAnsi="Times New Roman"/>
                <w:color w:val="F2F2F2"/>
                <w:sz w:val="28"/>
                <w:szCs w:val="28"/>
              </w:rPr>
            </w:pPr>
            <w:r w:rsidRPr="00C643B7">
              <w:rPr>
                <w:rFonts w:ascii="Times New Roman" w:hAnsi="Times New Roman"/>
                <w:sz w:val="28"/>
                <w:szCs w:val="28"/>
              </w:rPr>
              <w:t>1</w:t>
            </w:r>
          </w:p>
        </w:tc>
        <w:tc>
          <w:tcPr>
            <w:tcW w:w="16731" w:type="dxa"/>
            <w:gridSpan w:val="5"/>
            <w:shd w:val="clear" w:color="auto" w:fill="auto"/>
          </w:tcPr>
          <w:p w:rsidR="008543F3" w:rsidRPr="00C643B7" w:rsidRDefault="008543F3" w:rsidP="004646FD">
            <w:pPr>
              <w:spacing w:line="240" w:lineRule="auto"/>
              <w:rPr>
                <w:rFonts w:ascii="Times New Roman" w:hAnsi="Times New Roman"/>
                <w:bCs/>
                <w:color w:val="F2F2F2"/>
                <w:sz w:val="28"/>
                <w:szCs w:val="28"/>
              </w:rPr>
            </w:pPr>
            <w:r w:rsidRPr="00C643B7">
              <w:rPr>
                <w:rFonts w:ascii="Times New Roman" w:hAnsi="Times New Roman"/>
                <w:sz w:val="28"/>
                <w:szCs w:val="28"/>
              </w:rPr>
              <w:t>Стан корпоративного управління, управління ризиками та внутрішнього контролю</w:t>
            </w:r>
          </w:p>
        </w:tc>
        <w:tc>
          <w:tcPr>
            <w:tcW w:w="1418" w:type="dxa"/>
            <w:shd w:val="clear" w:color="auto" w:fill="auto"/>
          </w:tcPr>
          <w:p w:rsidR="008543F3" w:rsidRPr="00C643B7" w:rsidRDefault="008543F3" w:rsidP="004646FD">
            <w:pPr>
              <w:spacing w:line="240" w:lineRule="auto"/>
              <w:jc w:val="center"/>
              <w:rPr>
                <w:rFonts w:ascii="Times New Roman" w:hAnsi="Times New Roman"/>
                <w:bCs/>
                <w:color w:val="F2F2F2"/>
                <w:sz w:val="28"/>
                <w:szCs w:val="28"/>
              </w:rPr>
            </w:pPr>
            <w:r w:rsidRPr="00C643B7">
              <w:rPr>
                <w:rFonts w:ascii="Times New Roman" w:hAnsi="Times New Roman"/>
                <w:bCs/>
                <w:sz w:val="28"/>
                <w:szCs w:val="28"/>
              </w:rPr>
              <w:t>15</w:t>
            </w:r>
          </w:p>
        </w:tc>
      </w:tr>
      <w:tr w:rsidR="008543F3" w:rsidRPr="00C643B7" w:rsidTr="003863AF">
        <w:trPr>
          <w:trHeight w:val="1124"/>
        </w:trPr>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1.1</w:t>
            </w:r>
          </w:p>
        </w:tc>
        <w:tc>
          <w:tcPr>
            <w:tcW w:w="2982" w:type="dxa"/>
            <w:shd w:val="clear" w:color="auto" w:fill="auto"/>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Виконання заходів впливу</w:t>
            </w:r>
          </w:p>
        </w:tc>
        <w:tc>
          <w:tcPr>
            <w:tcW w:w="3827" w:type="dxa"/>
            <w:shd w:val="clear" w:color="auto" w:fill="auto"/>
          </w:tcPr>
          <w:p w:rsidR="008543F3" w:rsidRPr="00C643B7" w:rsidRDefault="008543F3"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Протягом періоду оцінки до страховика не застосовувалися заходи впливу.</w:t>
            </w:r>
          </w:p>
          <w:p w:rsidR="008543F3" w:rsidRPr="00C643B7" w:rsidRDefault="008543F3" w:rsidP="004646FD">
            <w:pPr>
              <w:spacing w:line="240" w:lineRule="auto"/>
              <w:jc w:val="both"/>
              <w:rPr>
                <w:rFonts w:ascii="Times New Roman" w:hAnsi="Times New Roman"/>
                <w:bCs/>
                <w:sz w:val="28"/>
                <w:szCs w:val="28"/>
              </w:rPr>
            </w:pPr>
          </w:p>
        </w:tc>
        <w:tc>
          <w:tcPr>
            <w:tcW w:w="3402" w:type="dxa"/>
            <w:shd w:val="clear" w:color="auto" w:fill="auto"/>
          </w:tcPr>
          <w:p w:rsidR="008543F3" w:rsidRPr="00C643B7" w:rsidRDefault="008543F3" w:rsidP="004646FD">
            <w:pPr>
              <w:spacing w:line="240" w:lineRule="auto"/>
              <w:jc w:val="both"/>
              <w:rPr>
                <w:rFonts w:ascii="Times New Roman" w:hAnsi="Times New Roman"/>
                <w:bCs/>
                <w:sz w:val="28"/>
                <w:szCs w:val="28"/>
              </w:rPr>
            </w:pPr>
            <w:r w:rsidRPr="00C643B7">
              <w:rPr>
                <w:rFonts w:ascii="Times New Roman" w:eastAsia="Times New Roman" w:hAnsi="Times New Roman"/>
                <w:sz w:val="28"/>
                <w:szCs w:val="28"/>
                <w:shd w:val="clear" w:color="auto" w:fill="FFFFFF"/>
                <w:lang w:eastAsia="ru-RU"/>
              </w:rPr>
              <w:t>Протягом періоду оцінки до страховика було застосовано один захід впливу, який станом на дату проведення оцінки був виконаний.</w:t>
            </w:r>
          </w:p>
        </w:tc>
        <w:tc>
          <w:tcPr>
            <w:tcW w:w="3260" w:type="dxa"/>
            <w:shd w:val="clear" w:color="auto" w:fill="auto"/>
          </w:tcPr>
          <w:p w:rsidR="008543F3" w:rsidRPr="00C643B7" w:rsidRDefault="008543F3"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 xml:space="preserve">Протягом періоду оцінки до страховика було застосовано два і більше заходів впливу, які  станом на дату </w:t>
            </w:r>
            <w:r w:rsidRPr="00C643B7">
              <w:rPr>
                <w:rFonts w:ascii="Times New Roman" w:eastAsia="Times New Roman" w:hAnsi="Times New Roman"/>
                <w:sz w:val="28"/>
                <w:szCs w:val="28"/>
                <w:shd w:val="clear" w:color="auto" w:fill="FFFFFF"/>
                <w:lang w:eastAsia="ru-RU"/>
              </w:rPr>
              <w:lastRenderedPageBreak/>
              <w:t>проведення оцінки  були виконані.</w:t>
            </w:r>
          </w:p>
          <w:p w:rsidR="008543F3" w:rsidRPr="00C643B7" w:rsidRDefault="008543F3" w:rsidP="004646FD">
            <w:pPr>
              <w:spacing w:line="240" w:lineRule="auto"/>
              <w:jc w:val="both"/>
              <w:rPr>
                <w:rFonts w:ascii="Times New Roman" w:hAnsi="Times New Roman"/>
                <w:bCs/>
                <w:sz w:val="28"/>
                <w:szCs w:val="28"/>
              </w:rPr>
            </w:pPr>
          </w:p>
        </w:tc>
        <w:tc>
          <w:tcPr>
            <w:tcW w:w="3260" w:type="dxa"/>
            <w:shd w:val="clear" w:color="auto" w:fill="auto"/>
          </w:tcPr>
          <w:p w:rsidR="008543F3" w:rsidRPr="00C643B7" w:rsidRDefault="008543F3" w:rsidP="004646FD">
            <w:pPr>
              <w:spacing w:line="240" w:lineRule="auto"/>
              <w:jc w:val="both"/>
              <w:rPr>
                <w:rFonts w:ascii="Times New Roman" w:hAnsi="Times New Roman"/>
                <w:bCs/>
                <w:sz w:val="28"/>
                <w:szCs w:val="28"/>
              </w:rPr>
            </w:pPr>
            <w:r w:rsidRPr="00C643B7">
              <w:rPr>
                <w:rFonts w:ascii="Times New Roman" w:eastAsia="Times New Roman" w:hAnsi="Times New Roman"/>
                <w:sz w:val="28"/>
                <w:szCs w:val="28"/>
                <w:shd w:val="clear" w:color="auto" w:fill="FFFFFF"/>
                <w:lang w:eastAsia="ru-RU"/>
              </w:rPr>
              <w:lastRenderedPageBreak/>
              <w:t xml:space="preserve">Протягом періоду оцінки до страховика було застосовано один (або більше) захід впливу, який станом на дату проведення оцінки не був </w:t>
            </w:r>
            <w:r w:rsidRPr="00C643B7">
              <w:rPr>
                <w:rFonts w:ascii="Times New Roman" w:eastAsia="Times New Roman" w:hAnsi="Times New Roman"/>
                <w:sz w:val="28"/>
                <w:szCs w:val="28"/>
                <w:shd w:val="clear" w:color="auto" w:fill="FFFFFF"/>
                <w:lang w:eastAsia="ru-RU"/>
              </w:rPr>
              <w:lastRenderedPageBreak/>
              <w:t>виконаний у встановлений строк.</w:t>
            </w: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lastRenderedPageBreak/>
              <w:t>35</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1.2</w:t>
            </w:r>
          </w:p>
        </w:tc>
        <w:tc>
          <w:tcPr>
            <w:tcW w:w="298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Результати зовнішнього аудиту</w:t>
            </w:r>
          </w:p>
        </w:tc>
        <w:tc>
          <w:tcPr>
            <w:tcW w:w="3827"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Не модифікована думка</w:t>
            </w:r>
            <w:r w:rsidR="00621387" w:rsidRPr="00C643B7">
              <w:rPr>
                <w:rFonts w:ascii="Times New Roman" w:hAnsi="Times New Roman"/>
                <w:sz w:val="28"/>
                <w:szCs w:val="28"/>
              </w:rPr>
              <w:t>.</w:t>
            </w:r>
          </w:p>
        </w:tc>
        <w:tc>
          <w:tcPr>
            <w:tcW w:w="340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Модифікована думка (із застереженням), але в цілому звітність не містить суттєвих викривлень.</w:t>
            </w:r>
          </w:p>
        </w:tc>
        <w:tc>
          <w:tcPr>
            <w:tcW w:w="3260"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 xml:space="preserve">Модифікована думка (із застереженням). За результатами проведеного аудиту є сумніви щодо достовірності окремих показників звітності, оцінки вартості активів та зобов’язань або у аудитора є сумніви щодо безперервності діяльності </w:t>
            </w:r>
            <w:r w:rsidR="00621387" w:rsidRPr="00C643B7">
              <w:rPr>
                <w:rFonts w:ascii="Times New Roman" w:hAnsi="Times New Roman"/>
                <w:sz w:val="28"/>
                <w:szCs w:val="28"/>
              </w:rPr>
              <w:t>страховика</w:t>
            </w:r>
            <w:r w:rsidRPr="00C643B7">
              <w:rPr>
                <w:rFonts w:ascii="Times New Roman" w:hAnsi="Times New Roman"/>
                <w:sz w:val="28"/>
                <w:szCs w:val="28"/>
              </w:rPr>
              <w:t xml:space="preserve"> у майбутньому.</w:t>
            </w:r>
          </w:p>
        </w:tc>
        <w:tc>
          <w:tcPr>
            <w:tcW w:w="3260"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Модифікована думка (негативна або відмова від висловлення думки) або аудиторський звіт за попередній рік не подано до Національного банку.</w:t>
            </w:r>
          </w:p>
        </w:tc>
        <w:tc>
          <w:tcPr>
            <w:tcW w:w="1418" w:type="dxa"/>
          </w:tcPr>
          <w:p w:rsidR="008543F3" w:rsidRPr="00C643B7" w:rsidRDefault="008543F3" w:rsidP="004646FD">
            <w:pPr>
              <w:spacing w:line="240" w:lineRule="auto"/>
              <w:jc w:val="center"/>
              <w:rPr>
                <w:rFonts w:ascii="Times New Roman" w:hAnsi="Times New Roman"/>
                <w:color w:val="000000"/>
                <w:sz w:val="28"/>
                <w:szCs w:val="28"/>
              </w:rPr>
            </w:pPr>
            <w:r w:rsidRPr="00C643B7">
              <w:rPr>
                <w:rFonts w:ascii="Times New Roman" w:eastAsia="Times New Roman" w:hAnsi="Times New Roman"/>
                <w:sz w:val="28"/>
                <w:szCs w:val="28"/>
                <w:shd w:val="clear" w:color="auto" w:fill="FFFFFF"/>
                <w:lang w:eastAsia="ru-RU"/>
              </w:rPr>
              <w:t>25</w:t>
            </w:r>
          </w:p>
        </w:tc>
      </w:tr>
      <w:tr w:rsidR="008543F3" w:rsidRPr="00C643B7" w:rsidTr="003863AF">
        <w:trPr>
          <w:trHeight w:val="988"/>
        </w:trPr>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4</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1.3</w:t>
            </w:r>
          </w:p>
        </w:tc>
        <w:tc>
          <w:tcPr>
            <w:tcW w:w="2982" w:type="dxa"/>
          </w:tcPr>
          <w:p w:rsidR="008543F3" w:rsidRPr="00C643B7" w:rsidRDefault="008543F3" w:rsidP="004646FD">
            <w:pPr>
              <w:spacing w:line="240" w:lineRule="auto"/>
              <w:jc w:val="both"/>
              <w:rPr>
                <w:rFonts w:ascii="Times New Roman" w:hAnsi="Times New Roman"/>
                <w:color w:val="FF0000"/>
                <w:sz w:val="28"/>
                <w:szCs w:val="28"/>
              </w:rPr>
            </w:pPr>
            <w:r w:rsidRPr="00C643B7">
              <w:rPr>
                <w:rFonts w:ascii="Times New Roman" w:hAnsi="Times New Roman"/>
                <w:color w:val="000000"/>
                <w:sz w:val="28"/>
                <w:szCs w:val="28"/>
              </w:rPr>
              <w:t>Подання звітності та інших обов’язкових документів</w:t>
            </w:r>
          </w:p>
        </w:tc>
        <w:tc>
          <w:tcPr>
            <w:tcW w:w="3827" w:type="dxa"/>
          </w:tcPr>
          <w:p w:rsidR="008543F3" w:rsidRPr="00C643B7" w:rsidRDefault="008543F3"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фінансова звітність та/або інші звітні дані, передбачені до подання на періодичній основі, подавалися Національному банку вчасно та в повному обсязі.</w:t>
            </w:r>
          </w:p>
        </w:tc>
        <w:tc>
          <w:tcPr>
            <w:tcW w:w="340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зафіксовано один факт несвоєчасного подання Національному банку фінансової звітності та/або інших звітних даних, передбачених до </w:t>
            </w:r>
            <w:r w:rsidRPr="00C643B7">
              <w:rPr>
                <w:rFonts w:ascii="Times New Roman" w:hAnsi="Times New Roman"/>
                <w:sz w:val="28"/>
                <w:szCs w:val="28"/>
              </w:rPr>
              <w:lastRenderedPageBreak/>
              <w:t>подання на періодичній основі.</w:t>
            </w:r>
          </w:p>
        </w:tc>
        <w:tc>
          <w:tcPr>
            <w:tcW w:w="3260" w:type="dxa"/>
          </w:tcPr>
          <w:p w:rsidR="008543F3" w:rsidRPr="00C643B7" w:rsidRDefault="008543F3"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lastRenderedPageBreak/>
              <w:t>Протягом періоду оцінки</w:t>
            </w:r>
            <w:r w:rsidRPr="00C643B7">
              <w:rPr>
                <w:rFonts w:ascii="Times New Roman" w:hAnsi="Times New Roman"/>
                <w:sz w:val="28"/>
                <w:szCs w:val="28"/>
              </w:rPr>
              <w:t xml:space="preserve"> зафіксовано два або більше фактів несвоєчасного подання Національному банку фінансової звітності та/або інших звітних даних, передбачених до </w:t>
            </w:r>
            <w:r w:rsidRPr="00C643B7">
              <w:rPr>
                <w:rFonts w:ascii="Times New Roman" w:hAnsi="Times New Roman"/>
                <w:sz w:val="28"/>
                <w:szCs w:val="28"/>
              </w:rPr>
              <w:lastRenderedPageBreak/>
              <w:t>подання на періодичній основі.</w:t>
            </w:r>
          </w:p>
        </w:tc>
        <w:tc>
          <w:tcPr>
            <w:tcW w:w="3260" w:type="dxa"/>
          </w:tcPr>
          <w:p w:rsidR="008543F3" w:rsidRPr="00C643B7" w:rsidRDefault="008543F3"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lastRenderedPageBreak/>
              <w:t>Протягом періоду оцінки</w:t>
            </w:r>
            <w:r w:rsidRPr="00C643B7">
              <w:rPr>
                <w:rFonts w:ascii="Times New Roman" w:hAnsi="Times New Roman"/>
                <w:sz w:val="28"/>
                <w:szCs w:val="28"/>
              </w:rPr>
              <w:t xml:space="preserve"> зафіксовано один факт неповного подання фінансової звітності та/або інших документів, передбачених до подання на періодичній основі.</w:t>
            </w:r>
          </w:p>
        </w:tc>
        <w:tc>
          <w:tcPr>
            <w:tcW w:w="1418" w:type="dxa"/>
          </w:tcPr>
          <w:p w:rsidR="008543F3" w:rsidRPr="00C643B7" w:rsidRDefault="008543F3" w:rsidP="004646FD">
            <w:pPr>
              <w:spacing w:line="240" w:lineRule="auto"/>
              <w:jc w:val="center"/>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5</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5</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1.4</w:t>
            </w:r>
          </w:p>
        </w:tc>
        <w:tc>
          <w:tcPr>
            <w:tcW w:w="298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Наявність у актуарному звіті за попередній рік інформації про адекватність формування страхових резервів (для страховиків, що мають подавати актуарний звіт)</w:t>
            </w:r>
          </w:p>
          <w:p w:rsidR="008543F3" w:rsidRPr="00C643B7" w:rsidRDefault="008543F3" w:rsidP="004646FD">
            <w:pPr>
              <w:spacing w:line="240" w:lineRule="auto"/>
              <w:jc w:val="both"/>
              <w:rPr>
                <w:rFonts w:ascii="Times New Roman" w:hAnsi="Times New Roman"/>
                <w:sz w:val="28"/>
                <w:szCs w:val="28"/>
              </w:rPr>
            </w:pPr>
          </w:p>
        </w:tc>
        <w:tc>
          <w:tcPr>
            <w:tcW w:w="3827"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shd w:val="clear" w:color="auto" w:fill="FFFFFF"/>
                <w:lang w:val="uk-UA"/>
              </w:rPr>
              <w:t>Актуарієм підтверджено в повній мірі достатність та адекватність сформованих страхових резервів, відсутні рекомендації щодо методики формування окремих видів резервів</w:t>
            </w:r>
          </w:p>
        </w:tc>
        <w:tc>
          <w:tcPr>
            <w:tcW w:w="3402"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shd w:val="clear" w:color="auto" w:fill="FFFFFF"/>
                <w:lang w:val="uk-UA"/>
              </w:rPr>
              <w:t>Актуарієм підтверджено в повній мірі достатність та адекватність сформованих страхових резервів, але актуарієм надано рекомендації щодо зміни методики формування окремих видів резервів</w:t>
            </w:r>
          </w:p>
        </w:tc>
        <w:tc>
          <w:tcPr>
            <w:tcW w:w="3260"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shd w:val="clear" w:color="auto" w:fill="FFFFFF"/>
                <w:lang w:val="uk-UA"/>
              </w:rPr>
              <w:t>Актуарієм виявлено недостатність формування резервів за окремим видом страхування, але актуарієм підтверджено в повній мірі достатність та адекватність сформованих страхових резервів (сукупних), актуарієм надано рекомендації щодо зміни методики формування окремих видів резервів у зв’язку з неможливістю її використання</w:t>
            </w: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shd w:val="clear" w:color="auto" w:fill="FFFFFF"/>
                <w:lang w:val="uk-UA"/>
              </w:rPr>
              <w:t xml:space="preserve">Актуарієм виявлено недостатність формування резервів за окремими видами страхування та встановлено факт недоформування страхових резервів (сукупних) або має місце факт неподання страховиком актуарного звіту за попередній рік   </w:t>
            </w:r>
          </w:p>
        </w:tc>
        <w:tc>
          <w:tcPr>
            <w:tcW w:w="1418"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 xml:space="preserve">      </w:t>
            </w:r>
            <w:r w:rsidRPr="00C643B7">
              <w:rPr>
                <w:rFonts w:ascii="Times New Roman" w:eastAsia="Times New Roman" w:hAnsi="Times New Roman"/>
                <w:sz w:val="28"/>
                <w:szCs w:val="28"/>
                <w:shd w:val="clear" w:color="auto" w:fill="FFFFFF"/>
                <w:lang w:eastAsia="ru-RU"/>
              </w:rPr>
              <w:t xml:space="preserve"> 15</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6</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1.5</w:t>
            </w:r>
          </w:p>
        </w:tc>
        <w:tc>
          <w:tcPr>
            <w:tcW w:w="2982" w:type="dxa"/>
            <w:shd w:val="clear" w:color="auto" w:fill="auto"/>
          </w:tcPr>
          <w:p w:rsidR="008543F3" w:rsidRPr="00C643B7" w:rsidRDefault="008543F3" w:rsidP="004646FD">
            <w:pPr>
              <w:spacing w:line="240" w:lineRule="auto"/>
              <w:jc w:val="both"/>
              <w:rPr>
                <w:rFonts w:ascii="Times New Roman" w:hAnsi="Times New Roman"/>
                <w:sz w:val="28"/>
                <w:szCs w:val="28"/>
              </w:rPr>
            </w:pPr>
            <w:r w:rsidRPr="00C643B7">
              <w:rPr>
                <w:rFonts w:ascii="Times New Roman" w:eastAsia="Times New Roman" w:hAnsi="Times New Roman"/>
                <w:color w:val="212121"/>
                <w:sz w:val="28"/>
                <w:szCs w:val="28"/>
                <w:lang w:eastAsia="uk-UA"/>
              </w:rPr>
              <w:t>Виконання вимог законодавства щодо захисту прав споживачів фінансових послуг </w:t>
            </w:r>
          </w:p>
        </w:tc>
        <w:tc>
          <w:tcPr>
            <w:tcW w:w="3827" w:type="dxa"/>
            <w:shd w:val="clear" w:color="auto" w:fill="auto"/>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bCs/>
                <w:sz w:val="28"/>
                <w:szCs w:val="28"/>
                <w:lang w:val="uk-UA"/>
              </w:rPr>
              <w:t xml:space="preserve">Протягом періоду оцінки не було виявлено порушень страховиком законодавства </w:t>
            </w:r>
            <w:r w:rsidR="009A3C24" w:rsidRPr="00C643B7">
              <w:rPr>
                <w:bCs/>
                <w:sz w:val="28"/>
                <w:szCs w:val="28"/>
                <w:lang w:val="uk-UA"/>
              </w:rPr>
              <w:t>[</w:t>
            </w:r>
            <w:r w:rsidRPr="00C643B7">
              <w:rPr>
                <w:sz w:val="28"/>
                <w:szCs w:val="28"/>
                <w:shd w:val="clear" w:color="auto" w:fill="FFFFFF"/>
                <w:lang w:val="uk-UA"/>
              </w:rPr>
              <w:t xml:space="preserve">включаючи нормативно-правових актів Національного банку, </w:t>
            </w:r>
            <w:r w:rsidR="00621387" w:rsidRPr="00C643B7">
              <w:rPr>
                <w:sz w:val="28"/>
                <w:szCs w:val="28"/>
                <w:shd w:val="clear" w:color="auto" w:fill="FFFFFF"/>
                <w:lang w:val="uk-UA"/>
              </w:rPr>
              <w:t xml:space="preserve">Національної комісії, що здійснює державне </w:t>
            </w:r>
            <w:r w:rsidR="00621387" w:rsidRPr="00C643B7">
              <w:rPr>
                <w:sz w:val="28"/>
                <w:szCs w:val="28"/>
                <w:shd w:val="clear" w:color="auto" w:fill="FFFFFF"/>
                <w:lang w:val="uk-UA"/>
              </w:rPr>
              <w:lastRenderedPageBreak/>
              <w:t>регулювання у сфері ринків фінансових послуг (далі - Нацкомфінпослуг)</w:t>
            </w:r>
            <w:r w:rsidR="009A3C24" w:rsidRPr="00C643B7">
              <w:rPr>
                <w:sz w:val="28"/>
                <w:szCs w:val="28"/>
                <w:shd w:val="clear" w:color="auto" w:fill="FFFFFF"/>
                <w:lang w:val="uk-UA"/>
              </w:rPr>
              <w:t>]</w:t>
            </w:r>
            <w:r w:rsidRPr="00C643B7">
              <w:rPr>
                <w:sz w:val="28"/>
                <w:szCs w:val="28"/>
                <w:shd w:val="clear" w:color="auto" w:fill="FFFFFF"/>
                <w:lang w:val="uk-UA"/>
              </w:rPr>
              <w:t xml:space="preserve"> за результатами розгляду звернень споживачів фінансових послуг.</w:t>
            </w:r>
          </w:p>
        </w:tc>
        <w:tc>
          <w:tcPr>
            <w:tcW w:w="3402" w:type="dxa"/>
            <w:shd w:val="clear" w:color="auto" w:fill="auto"/>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bCs/>
                <w:sz w:val="28"/>
                <w:szCs w:val="28"/>
                <w:lang w:val="uk-UA"/>
              </w:rPr>
              <w:lastRenderedPageBreak/>
              <w:t>Протягом періоду оцінки к</w:t>
            </w:r>
            <w:r w:rsidRPr="00C643B7">
              <w:rPr>
                <w:sz w:val="28"/>
                <w:szCs w:val="28"/>
                <w:shd w:val="clear" w:color="auto" w:fill="FFFFFF"/>
                <w:lang w:val="uk-UA"/>
              </w:rPr>
              <w:t xml:space="preserve">ількість виявлених  порушень страховиком законодавства (включаючи нормативно-правових актів Національного банку, </w:t>
            </w:r>
            <w:r w:rsidRPr="00C643B7">
              <w:rPr>
                <w:sz w:val="28"/>
                <w:szCs w:val="28"/>
                <w:shd w:val="clear" w:color="auto" w:fill="FFFFFF"/>
                <w:lang w:val="uk-UA"/>
              </w:rPr>
              <w:lastRenderedPageBreak/>
              <w:t xml:space="preserve">Нацкомфінпослуг) за результатами розгляду звернень споживачів фінансових послуг менша за середню кількість таких виявлених порушень на одного страховика, розраховану   як співвідношення загальної кількості таких порушень усіма страховиками за звітний період до загальної кількості страховиків (далі – середня кількість порушень). </w:t>
            </w:r>
          </w:p>
        </w:tc>
        <w:tc>
          <w:tcPr>
            <w:tcW w:w="3260" w:type="dxa"/>
            <w:shd w:val="clear" w:color="auto" w:fill="auto"/>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bCs/>
                <w:sz w:val="28"/>
                <w:szCs w:val="28"/>
                <w:lang w:val="uk-UA"/>
              </w:rPr>
              <w:lastRenderedPageBreak/>
              <w:t xml:space="preserve">Протягом періоду </w:t>
            </w:r>
            <w:r w:rsidRPr="00C643B7">
              <w:rPr>
                <w:sz w:val="28"/>
                <w:szCs w:val="28"/>
                <w:shd w:val="clear" w:color="auto" w:fill="FFFFFF"/>
                <w:lang w:val="uk-UA"/>
              </w:rPr>
              <w:t xml:space="preserve">оцінки кількість виявлених порушень страховиком законодавства (включаючи нормативно-правових актів Національного </w:t>
            </w:r>
            <w:r w:rsidRPr="00C643B7">
              <w:rPr>
                <w:sz w:val="28"/>
                <w:szCs w:val="28"/>
                <w:shd w:val="clear" w:color="auto" w:fill="FFFFFF"/>
                <w:lang w:val="uk-UA"/>
              </w:rPr>
              <w:lastRenderedPageBreak/>
              <w:t>банку, Нацкомфінпослуг) за результатами розгляду звернень споживачів фінансових послуг становить або перевищує середню кількість порушень, але не перевищує подвійну середню кількість таких виявлених порушень.</w:t>
            </w:r>
          </w:p>
        </w:tc>
        <w:tc>
          <w:tcPr>
            <w:tcW w:w="3260" w:type="dxa"/>
            <w:shd w:val="clear" w:color="auto" w:fill="auto"/>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bCs/>
                <w:sz w:val="28"/>
                <w:szCs w:val="28"/>
                <w:lang w:val="uk-UA"/>
              </w:rPr>
              <w:lastRenderedPageBreak/>
              <w:t>Протягом періоду оцінки к</w:t>
            </w:r>
            <w:r w:rsidRPr="00C643B7">
              <w:rPr>
                <w:sz w:val="28"/>
                <w:szCs w:val="28"/>
                <w:shd w:val="clear" w:color="auto" w:fill="FFFFFF"/>
                <w:lang w:val="uk-UA"/>
              </w:rPr>
              <w:t xml:space="preserve">ількість виявлених порушень страховиком законодавства (включаючи нормативно-правових актів Нацкомфінпослуг) </w:t>
            </w:r>
            <w:r w:rsidRPr="00C643B7">
              <w:rPr>
                <w:sz w:val="28"/>
                <w:szCs w:val="28"/>
                <w:shd w:val="clear" w:color="auto" w:fill="FFFFFF"/>
                <w:lang w:val="uk-UA"/>
              </w:rPr>
              <w:lastRenderedPageBreak/>
              <w:t>за результатами розгляду звернень споживачів фінансових послуг перевищує подвійну середню кількість таких виявлених порушень.</w:t>
            </w:r>
          </w:p>
        </w:tc>
        <w:tc>
          <w:tcPr>
            <w:tcW w:w="1418"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eastAsia="Times New Roman" w:hAnsi="Times New Roman"/>
                <w:sz w:val="28"/>
                <w:szCs w:val="28"/>
                <w:shd w:val="clear" w:color="auto" w:fill="FFFFFF"/>
                <w:lang w:eastAsia="ru-RU"/>
              </w:rPr>
              <w:lastRenderedPageBreak/>
              <w:t xml:space="preserve">        20</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7</w:t>
            </w:r>
          </w:p>
        </w:tc>
        <w:tc>
          <w:tcPr>
            <w:tcW w:w="704" w:type="dxa"/>
            <w:shd w:val="clear" w:color="auto" w:fill="auto"/>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2</w:t>
            </w:r>
          </w:p>
        </w:tc>
        <w:tc>
          <w:tcPr>
            <w:tcW w:w="16731" w:type="dxa"/>
            <w:gridSpan w:val="5"/>
            <w:shd w:val="clear" w:color="auto" w:fill="auto"/>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t>Показники діяльності</w:t>
            </w:r>
          </w:p>
        </w:tc>
        <w:tc>
          <w:tcPr>
            <w:tcW w:w="1418" w:type="dxa"/>
            <w:shd w:val="clear" w:color="auto" w:fill="auto"/>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35</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8</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2.1</w:t>
            </w:r>
          </w:p>
        </w:tc>
        <w:tc>
          <w:tcPr>
            <w:tcW w:w="298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 xml:space="preserve">Наявність ліцензій на здійснення страхової діяльності </w:t>
            </w:r>
          </w:p>
          <w:p w:rsidR="008543F3" w:rsidRPr="00C643B7" w:rsidRDefault="008543F3" w:rsidP="004646FD">
            <w:pPr>
              <w:spacing w:line="240" w:lineRule="auto"/>
              <w:jc w:val="both"/>
              <w:rPr>
                <w:rFonts w:ascii="Times New Roman" w:hAnsi="Times New Roman"/>
                <w:sz w:val="28"/>
                <w:szCs w:val="28"/>
              </w:rPr>
            </w:pPr>
          </w:p>
          <w:p w:rsidR="008543F3" w:rsidRPr="00C643B7" w:rsidRDefault="008543F3" w:rsidP="004646FD">
            <w:pPr>
              <w:spacing w:line="240" w:lineRule="auto"/>
              <w:jc w:val="both"/>
              <w:rPr>
                <w:rFonts w:ascii="Times New Roman" w:hAnsi="Times New Roman"/>
                <w:sz w:val="28"/>
                <w:szCs w:val="28"/>
              </w:rPr>
            </w:pPr>
          </w:p>
          <w:p w:rsidR="008543F3" w:rsidRPr="00C643B7" w:rsidRDefault="008543F3" w:rsidP="004646FD">
            <w:pPr>
              <w:spacing w:line="240" w:lineRule="auto"/>
              <w:jc w:val="both"/>
              <w:rPr>
                <w:rFonts w:ascii="Times New Roman" w:hAnsi="Times New Roman"/>
                <w:sz w:val="28"/>
                <w:szCs w:val="28"/>
              </w:rPr>
            </w:pPr>
          </w:p>
        </w:tc>
        <w:tc>
          <w:tcPr>
            <w:tcW w:w="3827" w:type="dxa"/>
          </w:tcPr>
          <w:p w:rsidR="008543F3" w:rsidRPr="00C643B7" w:rsidRDefault="008543F3" w:rsidP="004646FD">
            <w:pPr>
              <w:spacing w:line="240" w:lineRule="auto"/>
              <w:jc w:val="both"/>
              <w:rPr>
                <w:rFonts w:ascii="Times New Roman" w:hAnsi="Times New Roman"/>
                <w:sz w:val="28"/>
                <w:szCs w:val="28"/>
                <w:shd w:val="clear" w:color="auto" w:fill="FFFFFF"/>
              </w:rPr>
            </w:pPr>
            <w:r w:rsidRPr="00C643B7">
              <w:rPr>
                <w:rFonts w:ascii="Times New Roman" w:hAnsi="Times New Roman"/>
                <w:sz w:val="28"/>
                <w:szCs w:val="28"/>
                <w:shd w:val="clear" w:color="auto" w:fill="FFFFFF"/>
              </w:rPr>
              <w:t>Не застосовується</w:t>
            </w:r>
            <w:r w:rsidR="00612887" w:rsidRPr="00C643B7">
              <w:rPr>
                <w:rFonts w:ascii="Times New Roman" w:hAnsi="Times New Roman"/>
                <w:sz w:val="28"/>
                <w:szCs w:val="28"/>
                <w:shd w:val="clear" w:color="auto" w:fill="FFFFFF"/>
              </w:rPr>
              <w:t>.</w:t>
            </w:r>
          </w:p>
          <w:p w:rsidR="008543F3" w:rsidRPr="00C643B7" w:rsidRDefault="008543F3" w:rsidP="004646FD">
            <w:pPr>
              <w:spacing w:line="240" w:lineRule="auto"/>
              <w:jc w:val="both"/>
              <w:rPr>
                <w:rFonts w:ascii="Times New Roman" w:hAnsi="Times New Roman"/>
                <w:sz w:val="28"/>
                <w:szCs w:val="28"/>
                <w:shd w:val="clear" w:color="auto" w:fill="FFFFFF"/>
              </w:rPr>
            </w:pPr>
          </w:p>
          <w:p w:rsidR="008543F3" w:rsidRPr="00C643B7" w:rsidRDefault="008543F3" w:rsidP="004646FD">
            <w:pPr>
              <w:spacing w:line="240" w:lineRule="auto"/>
              <w:jc w:val="both"/>
              <w:rPr>
                <w:rFonts w:ascii="Times New Roman" w:hAnsi="Times New Roman"/>
                <w:sz w:val="28"/>
                <w:szCs w:val="28"/>
                <w:shd w:val="clear" w:color="auto" w:fill="FFFFFF"/>
              </w:rPr>
            </w:pPr>
          </w:p>
        </w:tc>
        <w:tc>
          <w:tcPr>
            <w:tcW w:w="3402" w:type="dxa"/>
          </w:tcPr>
          <w:p w:rsidR="008543F3" w:rsidRPr="00C643B7" w:rsidRDefault="008543F3" w:rsidP="004646FD">
            <w:pPr>
              <w:spacing w:line="240" w:lineRule="auto"/>
              <w:jc w:val="both"/>
              <w:rPr>
                <w:rFonts w:ascii="Times New Roman" w:hAnsi="Times New Roman"/>
                <w:bCs/>
                <w:sz w:val="28"/>
                <w:szCs w:val="28"/>
              </w:rPr>
            </w:pPr>
            <w:r w:rsidRPr="00C643B7">
              <w:rPr>
                <w:rFonts w:ascii="Times New Roman" w:hAnsi="Times New Roman"/>
                <w:bCs/>
                <w:sz w:val="28"/>
                <w:szCs w:val="28"/>
              </w:rPr>
              <w:t>Наявність ліцензій на здійснення видів страхування, інших ніж зазначені у цьому показнику за критеріями оцінки «3» та «4»</w:t>
            </w:r>
            <w:r w:rsidR="00612887" w:rsidRPr="00C643B7">
              <w:rPr>
                <w:rFonts w:ascii="Times New Roman" w:hAnsi="Times New Roman"/>
                <w:bCs/>
                <w:sz w:val="28"/>
                <w:szCs w:val="28"/>
              </w:rPr>
              <w:t>.</w:t>
            </w:r>
          </w:p>
        </w:tc>
        <w:tc>
          <w:tcPr>
            <w:tcW w:w="3260"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Наявність ліцензії на надання послуг зі страхування життя</w:t>
            </w:r>
            <w:r w:rsidR="00612887" w:rsidRPr="00C643B7">
              <w:rPr>
                <w:rFonts w:ascii="Times New Roman" w:hAnsi="Times New Roman"/>
                <w:sz w:val="28"/>
                <w:szCs w:val="28"/>
              </w:rPr>
              <w:t>.</w:t>
            </w: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t xml:space="preserve">Наявність ліцензій на проведення окремих видів страхування, визначених абзацом шостим пункту 7 розділу </w:t>
            </w:r>
            <w:r w:rsidR="00811C08" w:rsidRPr="00C643B7">
              <w:rPr>
                <w:sz w:val="28"/>
                <w:szCs w:val="28"/>
                <w:lang w:val="uk-UA"/>
              </w:rPr>
              <w:t>І</w:t>
            </w:r>
            <w:r w:rsidRPr="00C643B7">
              <w:rPr>
                <w:sz w:val="28"/>
                <w:szCs w:val="28"/>
                <w:lang w:val="uk-UA"/>
              </w:rPr>
              <w:t xml:space="preserve"> Положення про обов’язкові критерії і нормативи достатності </w:t>
            </w:r>
            <w:r w:rsidRPr="00C643B7">
              <w:rPr>
                <w:sz w:val="28"/>
                <w:szCs w:val="28"/>
                <w:lang w:val="uk-UA"/>
              </w:rPr>
              <w:lastRenderedPageBreak/>
              <w:t xml:space="preserve">капіталу та платоспроможності, ліквідності, прибутковості, якості активів та ризиковості операцій страховика, затвердженого розпорядженням </w:t>
            </w:r>
            <w:r w:rsidR="0091187D" w:rsidRPr="00C643B7">
              <w:rPr>
                <w:sz w:val="28"/>
                <w:szCs w:val="28"/>
                <w:lang w:val="uk-UA"/>
              </w:rPr>
              <w:t>Національної комісії, що здійснює державне регулювання у сфері ринків фінансових послуг</w:t>
            </w:r>
            <w:r w:rsidRPr="00C643B7">
              <w:rPr>
                <w:sz w:val="28"/>
                <w:szCs w:val="28"/>
                <w:lang w:val="uk-UA"/>
              </w:rPr>
              <w:t xml:space="preserve"> 07</w:t>
            </w:r>
            <w:r w:rsidR="0091187D" w:rsidRPr="00C643B7">
              <w:rPr>
                <w:sz w:val="28"/>
                <w:szCs w:val="28"/>
                <w:lang w:val="uk-UA"/>
              </w:rPr>
              <w:t xml:space="preserve"> червня </w:t>
            </w:r>
            <w:r w:rsidRPr="00C643B7">
              <w:rPr>
                <w:sz w:val="28"/>
                <w:szCs w:val="28"/>
                <w:lang w:val="uk-UA"/>
              </w:rPr>
              <w:t>2018</w:t>
            </w:r>
            <w:r w:rsidR="0091187D" w:rsidRPr="00C643B7">
              <w:rPr>
                <w:sz w:val="28"/>
                <w:szCs w:val="28"/>
                <w:lang w:val="uk-UA"/>
              </w:rPr>
              <w:t xml:space="preserve"> року</w:t>
            </w:r>
            <w:r w:rsidRPr="00C643B7">
              <w:rPr>
                <w:sz w:val="28"/>
                <w:szCs w:val="28"/>
                <w:lang w:val="uk-UA"/>
              </w:rPr>
              <w:t>  № 850, зареєстрован</w:t>
            </w:r>
            <w:r w:rsidR="0091187D" w:rsidRPr="00C643B7">
              <w:rPr>
                <w:sz w:val="28"/>
                <w:szCs w:val="28"/>
                <w:lang w:val="uk-UA"/>
              </w:rPr>
              <w:t>ого</w:t>
            </w:r>
            <w:r w:rsidRPr="00C643B7">
              <w:rPr>
                <w:sz w:val="28"/>
                <w:szCs w:val="28"/>
                <w:lang w:val="uk-UA"/>
              </w:rPr>
              <w:t xml:space="preserve"> в Міністерстві юстиції України 06</w:t>
            </w:r>
            <w:r w:rsidR="00D954FA" w:rsidRPr="00C643B7">
              <w:rPr>
                <w:sz w:val="28"/>
                <w:szCs w:val="28"/>
                <w:lang w:val="uk-UA"/>
              </w:rPr>
              <w:t xml:space="preserve"> липня </w:t>
            </w:r>
            <w:r w:rsidRPr="00C643B7">
              <w:rPr>
                <w:sz w:val="28"/>
                <w:szCs w:val="28"/>
                <w:lang w:val="uk-UA"/>
              </w:rPr>
              <w:t>2016</w:t>
            </w:r>
            <w:r w:rsidR="00D954FA" w:rsidRPr="00C643B7">
              <w:rPr>
                <w:sz w:val="28"/>
                <w:szCs w:val="28"/>
                <w:lang w:val="uk-UA"/>
              </w:rPr>
              <w:t xml:space="preserve"> року</w:t>
            </w:r>
            <w:r w:rsidRPr="00C643B7">
              <w:rPr>
                <w:sz w:val="28"/>
                <w:szCs w:val="28"/>
                <w:lang w:val="uk-UA"/>
              </w:rPr>
              <w:t xml:space="preserve"> за № 782/32234 </w:t>
            </w:r>
            <w:r w:rsidR="00681429" w:rsidRPr="00C643B7">
              <w:rPr>
                <w:sz w:val="28"/>
                <w:szCs w:val="28"/>
                <w:lang w:val="uk-UA"/>
              </w:rPr>
              <w:t xml:space="preserve">(зі змінами) </w:t>
            </w:r>
            <w:r w:rsidRPr="00C643B7">
              <w:rPr>
                <w:sz w:val="28"/>
                <w:szCs w:val="28"/>
                <w:lang w:val="uk-UA"/>
              </w:rPr>
              <w:t xml:space="preserve">(далі – Положення № 850) </w:t>
            </w:r>
          </w:p>
          <w:p w:rsidR="008543F3" w:rsidRPr="00C643B7" w:rsidRDefault="008543F3" w:rsidP="004646FD">
            <w:pPr>
              <w:pStyle w:val="rvps14"/>
              <w:spacing w:before="0" w:beforeAutospacing="0" w:after="0" w:afterAutospacing="0"/>
              <w:jc w:val="both"/>
              <w:rPr>
                <w:sz w:val="28"/>
                <w:szCs w:val="28"/>
                <w:lang w:val="uk-UA"/>
              </w:rPr>
            </w:pP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lastRenderedPageBreak/>
              <w:t>20</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9</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2.2</w:t>
            </w:r>
          </w:p>
        </w:tc>
        <w:tc>
          <w:tcPr>
            <w:tcW w:w="298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Рівень вхідного перестрахування</w:t>
            </w:r>
          </w:p>
          <w:p w:rsidR="008543F3" w:rsidRPr="00C643B7" w:rsidRDefault="008543F3" w:rsidP="004646FD">
            <w:pPr>
              <w:spacing w:line="240" w:lineRule="auto"/>
              <w:jc w:val="both"/>
              <w:rPr>
                <w:rFonts w:ascii="Times New Roman" w:hAnsi="Times New Roman"/>
                <w:sz w:val="28"/>
                <w:szCs w:val="28"/>
              </w:rPr>
            </w:pPr>
          </w:p>
          <w:p w:rsidR="008543F3" w:rsidRPr="00C643B7" w:rsidRDefault="008543F3" w:rsidP="004646FD">
            <w:pPr>
              <w:spacing w:line="240" w:lineRule="auto"/>
              <w:jc w:val="both"/>
              <w:rPr>
                <w:rFonts w:ascii="Times New Roman" w:hAnsi="Times New Roman"/>
                <w:color w:val="FF0000"/>
                <w:sz w:val="28"/>
                <w:szCs w:val="28"/>
              </w:rPr>
            </w:pPr>
          </w:p>
        </w:tc>
        <w:tc>
          <w:tcPr>
            <w:tcW w:w="3827"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shd w:val="clear" w:color="auto" w:fill="FFFFFF"/>
                <w:lang w:val="uk-UA"/>
              </w:rPr>
              <w:t xml:space="preserve">Співвідношення нарахованих страхових платежів від перестрахувальників за період оцінки відповідно до звітних даних страховика до </w:t>
            </w:r>
            <w:r w:rsidRPr="00C643B7">
              <w:rPr>
                <w:sz w:val="28"/>
                <w:szCs w:val="28"/>
                <w:shd w:val="clear" w:color="auto" w:fill="FFFFFF"/>
                <w:lang w:val="uk-UA"/>
              </w:rPr>
              <w:lastRenderedPageBreak/>
              <w:t xml:space="preserve">загальних нарахованих страхових платежів за аналогічний період (рівень вхідного перестрахування) становить до 20 </w:t>
            </w:r>
            <w:r w:rsidR="00645680" w:rsidRPr="00C643B7">
              <w:rPr>
                <w:sz w:val="28"/>
                <w:szCs w:val="28"/>
                <w:shd w:val="clear" w:color="auto" w:fill="FFFFFF"/>
                <w:lang w:val="uk-UA"/>
              </w:rPr>
              <w:t>%</w:t>
            </w:r>
            <w:r w:rsidRPr="00C643B7">
              <w:rPr>
                <w:sz w:val="28"/>
                <w:szCs w:val="28"/>
                <w:shd w:val="clear" w:color="auto" w:fill="FFFFFF"/>
                <w:lang w:val="uk-UA"/>
              </w:rPr>
              <w:t xml:space="preserve"> включно.</w:t>
            </w:r>
          </w:p>
        </w:tc>
        <w:tc>
          <w:tcPr>
            <w:tcW w:w="3402" w:type="dxa"/>
          </w:tcPr>
          <w:p w:rsidR="008543F3" w:rsidRPr="00C643B7" w:rsidRDefault="008543F3" w:rsidP="004646FD">
            <w:pPr>
              <w:spacing w:line="240" w:lineRule="auto"/>
              <w:jc w:val="both"/>
              <w:rPr>
                <w:rFonts w:ascii="Times New Roman" w:hAnsi="Times New Roman"/>
                <w:bCs/>
                <w:sz w:val="28"/>
                <w:szCs w:val="28"/>
              </w:rPr>
            </w:pPr>
            <w:r w:rsidRPr="00C643B7">
              <w:rPr>
                <w:rFonts w:ascii="Times New Roman" w:hAnsi="Times New Roman"/>
                <w:sz w:val="28"/>
                <w:szCs w:val="28"/>
                <w:shd w:val="clear" w:color="auto" w:fill="FFFFFF"/>
              </w:rPr>
              <w:lastRenderedPageBreak/>
              <w:t xml:space="preserve">Співвідношення нарахованих страхових платежів від перестрахувальників за період оцінки відповідно </w:t>
            </w:r>
            <w:r w:rsidRPr="00C643B7">
              <w:rPr>
                <w:rFonts w:ascii="Times New Roman" w:hAnsi="Times New Roman"/>
                <w:sz w:val="28"/>
                <w:szCs w:val="28"/>
                <w:shd w:val="clear" w:color="auto" w:fill="FFFFFF"/>
              </w:rPr>
              <w:lastRenderedPageBreak/>
              <w:t xml:space="preserve">до звітних даних страховика до загальних нарахованих сум страхових платежів за аналогічний період (рівень вхідного перестрахування) становить від 21 </w:t>
            </w:r>
            <w:r w:rsidR="00645680" w:rsidRPr="00C643B7">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 xml:space="preserve">до 40 </w:t>
            </w:r>
            <w:r w:rsidR="00645680" w:rsidRPr="00C643B7">
              <w:rPr>
                <w:rFonts w:ascii="Times New Roman" w:hAnsi="Times New Roman"/>
                <w:sz w:val="28"/>
                <w:szCs w:val="28"/>
                <w:shd w:val="clear" w:color="auto" w:fill="FFFFFF"/>
              </w:rPr>
              <w:t>%</w:t>
            </w:r>
            <w:r w:rsidRPr="00C643B7">
              <w:rPr>
                <w:rFonts w:ascii="Times New Roman" w:hAnsi="Times New Roman"/>
                <w:sz w:val="28"/>
                <w:szCs w:val="28"/>
                <w:shd w:val="clear" w:color="auto" w:fill="FFFFFF"/>
              </w:rPr>
              <w:t xml:space="preserve"> включно.</w:t>
            </w:r>
          </w:p>
        </w:tc>
        <w:tc>
          <w:tcPr>
            <w:tcW w:w="3260"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shd w:val="clear" w:color="auto" w:fill="FFFFFF"/>
              </w:rPr>
              <w:lastRenderedPageBreak/>
              <w:t xml:space="preserve">Співвідношення нарахованих страхових платежів від перестрахувальників за період оцінки відповідно </w:t>
            </w:r>
            <w:r w:rsidRPr="00C643B7">
              <w:rPr>
                <w:rFonts w:ascii="Times New Roman" w:hAnsi="Times New Roman"/>
                <w:sz w:val="28"/>
                <w:szCs w:val="28"/>
                <w:shd w:val="clear" w:color="auto" w:fill="FFFFFF"/>
              </w:rPr>
              <w:lastRenderedPageBreak/>
              <w:t xml:space="preserve">до звітних даних страховика до загальних нарахованих сум страхових платежів за аналогічний період (рівень вхідного перестрахування) становить від 41 </w:t>
            </w:r>
            <w:r w:rsidR="00645680" w:rsidRPr="00C643B7">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 xml:space="preserve">до 60 </w:t>
            </w:r>
            <w:r w:rsidR="00645680" w:rsidRPr="00C643B7">
              <w:rPr>
                <w:rFonts w:ascii="Times New Roman" w:hAnsi="Times New Roman"/>
                <w:sz w:val="28"/>
                <w:szCs w:val="28"/>
                <w:shd w:val="clear" w:color="auto" w:fill="FFFFFF"/>
              </w:rPr>
              <w:t>%</w:t>
            </w:r>
            <w:r w:rsidRPr="00C643B7">
              <w:rPr>
                <w:rFonts w:ascii="Times New Roman" w:hAnsi="Times New Roman"/>
                <w:sz w:val="28"/>
                <w:szCs w:val="28"/>
                <w:shd w:val="clear" w:color="auto" w:fill="FFFFFF"/>
              </w:rPr>
              <w:t xml:space="preserve"> включно.</w:t>
            </w: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shd w:val="clear" w:color="auto" w:fill="FFFFFF"/>
                <w:lang w:val="uk-UA"/>
              </w:rPr>
              <w:lastRenderedPageBreak/>
              <w:t xml:space="preserve">Співвідношення нарахованих страхових платежів від перестрахувальників за період оцінки відповідно </w:t>
            </w:r>
            <w:r w:rsidRPr="00C643B7">
              <w:rPr>
                <w:sz w:val="28"/>
                <w:szCs w:val="28"/>
                <w:shd w:val="clear" w:color="auto" w:fill="FFFFFF"/>
                <w:lang w:val="uk-UA"/>
              </w:rPr>
              <w:lastRenderedPageBreak/>
              <w:t xml:space="preserve">до звітних даних страховика до загальних нарахованих сум страхових платежів за аналогічний період (рівень вхідного перестрахування) становить понад 60 </w:t>
            </w:r>
            <w:r w:rsidR="00DB7D2D" w:rsidRPr="00C643B7">
              <w:rPr>
                <w:sz w:val="28"/>
                <w:szCs w:val="28"/>
                <w:shd w:val="clear" w:color="auto" w:fill="FFFFFF"/>
                <w:lang w:val="uk-UA"/>
              </w:rPr>
              <w:t>%</w:t>
            </w:r>
            <w:r w:rsidRPr="00C643B7">
              <w:rPr>
                <w:sz w:val="28"/>
                <w:szCs w:val="28"/>
                <w:shd w:val="clear" w:color="auto" w:fill="FFFFFF"/>
                <w:lang w:val="uk-UA"/>
              </w:rPr>
              <w:t xml:space="preserve">. </w:t>
            </w: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lastRenderedPageBreak/>
              <w:t>15</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10</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2.3</w:t>
            </w:r>
          </w:p>
        </w:tc>
        <w:tc>
          <w:tcPr>
            <w:tcW w:w="298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Рівень вихідного перестрахування</w:t>
            </w:r>
          </w:p>
          <w:p w:rsidR="008543F3" w:rsidRPr="00C643B7" w:rsidRDefault="008543F3" w:rsidP="004646FD">
            <w:pPr>
              <w:spacing w:line="240" w:lineRule="auto"/>
              <w:jc w:val="both"/>
              <w:rPr>
                <w:rFonts w:ascii="Times New Roman" w:hAnsi="Times New Roman"/>
                <w:sz w:val="28"/>
                <w:szCs w:val="28"/>
              </w:rPr>
            </w:pPr>
          </w:p>
          <w:p w:rsidR="008543F3" w:rsidRPr="00C643B7" w:rsidRDefault="008543F3" w:rsidP="004646FD">
            <w:pPr>
              <w:spacing w:line="240" w:lineRule="auto"/>
              <w:jc w:val="both"/>
              <w:rPr>
                <w:rFonts w:ascii="Times New Roman" w:hAnsi="Times New Roman"/>
                <w:sz w:val="28"/>
                <w:szCs w:val="28"/>
              </w:rPr>
            </w:pPr>
          </w:p>
        </w:tc>
        <w:tc>
          <w:tcPr>
            <w:tcW w:w="3827"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shd w:val="clear" w:color="auto" w:fill="FFFFFF"/>
                <w:lang w:val="uk-UA"/>
              </w:rPr>
              <w:t xml:space="preserve">Співвідношення нарахованих страхових платежів, належних перестраховикам, за період оцінки відповідно до звітних даних страховика до загальних нарахованих сум страхових платежів за аналогічний </w:t>
            </w:r>
            <w:r w:rsidR="00834388" w:rsidRPr="00C643B7">
              <w:rPr>
                <w:sz w:val="28"/>
                <w:szCs w:val="28"/>
                <w:shd w:val="clear" w:color="auto" w:fill="FFFFFF"/>
                <w:lang w:val="uk-UA"/>
              </w:rPr>
              <w:t xml:space="preserve">період становить до 20 % </w:t>
            </w:r>
            <w:r w:rsidRPr="00C643B7">
              <w:rPr>
                <w:sz w:val="28"/>
                <w:szCs w:val="28"/>
                <w:shd w:val="clear" w:color="auto" w:fill="FFFFFF"/>
                <w:lang w:val="uk-UA"/>
              </w:rPr>
              <w:t>включно.</w:t>
            </w:r>
          </w:p>
        </w:tc>
        <w:tc>
          <w:tcPr>
            <w:tcW w:w="3402" w:type="dxa"/>
          </w:tcPr>
          <w:p w:rsidR="008543F3" w:rsidRPr="00C643B7" w:rsidRDefault="008543F3" w:rsidP="004646FD">
            <w:pPr>
              <w:spacing w:line="240" w:lineRule="auto"/>
              <w:jc w:val="both"/>
              <w:rPr>
                <w:rFonts w:ascii="Times New Roman" w:hAnsi="Times New Roman"/>
                <w:sz w:val="28"/>
                <w:szCs w:val="28"/>
                <w:shd w:val="clear" w:color="auto" w:fill="FFFFFF"/>
              </w:rPr>
            </w:pPr>
            <w:r w:rsidRPr="00C643B7">
              <w:rPr>
                <w:rFonts w:ascii="Times New Roman" w:hAnsi="Times New Roman"/>
                <w:sz w:val="28"/>
                <w:szCs w:val="28"/>
                <w:shd w:val="clear" w:color="auto" w:fill="FFFFFF"/>
              </w:rPr>
              <w:t xml:space="preserve">Співвідношення нарахованих страхових платежів, належних перестраховикам, за період оцінки відповідно до звітних даних страховика до загальних нарахованих сум страхових платежів за аналогічний період становить від 21 </w:t>
            </w:r>
            <w:r w:rsidR="00834388" w:rsidRPr="00C643B7">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 xml:space="preserve">до 40  </w:t>
            </w:r>
            <w:r w:rsidR="00834388" w:rsidRPr="00C643B7">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включно.</w:t>
            </w:r>
          </w:p>
        </w:tc>
        <w:tc>
          <w:tcPr>
            <w:tcW w:w="3260" w:type="dxa"/>
          </w:tcPr>
          <w:p w:rsidR="008543F3" w:rsidRPr="00C643B7" w:rsidRDefault="008543F3" w:rsidP="004646FD">
            <w:pPr>
              <w:spacing w:line="240" w:lineRule="auto"/>
              <w:jc w:val="both"/>
              <w:rPr>
                <w:rFonts w:ascii="Times New Roman" w:hAnsi="Times New Roman"/>
                <w:sz w:val="28"/>
                <w:szCs w:val="28"/>
                <w:shd w:val="clear" w:color="auto" w:fill="FFFFFF"/>
              </w:rPr>
            </w:pPr>
            <w:r w:rsidRPr="00C643B7">
              <w:rPr>
                <w:rFonts w:ascii="Times New Roman" w:hAnsi="Times New Roman"/>
                <w:sz w:val="28"/>
                <w:szCs w:val="28"/>
                <w:shd w:val="clear" w:color="auto" w:fill="FFFFFF"/>
              </w:rPr>
              <w:t xml:space="preserve">Співвідношення нарахованих страхових платежів, належних перестраховикам, за період  оцінки відповідно до звітних даних страховика до загальних нарахованих сум страхових платежів за аналогічний період становить від 41 </w:t>
            </w:r>
            <w:r w:rsidR="00834388" w:rsidRPr="00C643B7">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 xml:space="preserve">до 60 </w:t>
            </w:r>
            <w:r w:rsidR="00834388" w:rsidRPr="00C643B7">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включно.</w:t>
            </w:r>
          </w:p>
        </w:tc>
        <w:tc>
          <w:tcPr>
            <w:tcW w:w="3260"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shd w:val="clear" w:color="auto" w:fill="FFFFFF"/>
                <w:lang w:val="uk-UA"/>
              </w:rPr>
              <w:t xml:space="preserve">Співвідношення нарахованих  страхових платежів, належних перестраховикам, за період оцінки відповідно до звітних даних страховика до загальних нарахованих сум страхових платежів за аналогічний період становить понад 60 </w:t>
            </w:r>
            <w:r w:rsidR="00834388" w:rsidRPr="00C643B7">
              <w:rPr>
                <w:sz w:val="28"/>
                <w:szCs w:val="28"/>
                <w:shd w:val="clear" w:color="auto" w:fill="FFFFFF"/>
                <w:lang w:val="uk-UA"/>
              </w:rPr>
              <w:t>%</w:t>
            </w:r>
            <w:r w:rsidRPr="00C643B7">
              <w:rPr>
                <w:sz w:val="28"/>
                <w:szCs w:val="28"/>
                <w:shd w:val="clear" w:color="auto" w:fill="FFFFFF"/>
                <w:lang w:val="uk-UA"/>
              </w:rPr>
              <w:t>.</w:t>
            </w: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15</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11</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2.4</w:t>
            </w:r>
          </w:p>
        </w:tc>
        <w:tc>
          <w:tcPr>
            <w:tcW w:w="2982" w:type="dxa"/>
          </w:tcPr>
          <w:p w:rsidR="00E64425" w:rsidRPr="00C643B7" w:rsidRDefault="008543F3" w:rsidP="004646FD">
            <w:pPr>
              <w:spacing w:line="240" w:lineRule="auto"/>
              <w:jc w:val="both"/>
              <w:rPr>
                <w:rFonts w:ascii="Times New Roman" w:eastAsia="Times New Roman" w:hAnsi="Times New Roman"/>
                <w:sz w:val="28"/>
                <w:szCs w:val="28"/>
                <w:lang w:eastAsia="ru-RU"/>
              </w:rPr>
            </w:pPr>
            <w:r w:rsidRPr="00C643B7">
              <w:rPr>
                <w:rFonts w:ascii="Times New Roman" w:eastAsia="Times New Roman" w:hAnsi="Times New Roman"/>
                <w:sz w:val="28"/>
                <w:szCs w:val="28"/>
                <w:lang w:eastAsia="ru-RU"/>
              </w:rPr>
              <w:t>Частка окремих видів страхування згідно п</w:t>
            </w:r>
            <w:r w:rsidR="0018323E" w:rsidRPr="00C643B7">
              <w:rPr>
                <w:rFonts w:ascii="Times New Roman" w:eastAsia="Times New Roman" w:hAnsi="Times New Roman"/>
                <w:sz w:val="28"/>
                <w:szCs w:val="28"/>
                <w:lang w:eastAsia="ru-RU"/>
              </w:rPr>
              <w:t>унктом</w:t>
            </w:r>
            <w:r w:rsidRPr="00C643B7">
              <w:rPr>
                <w:rFonts w:ascii="Times New Roman" w:eastAsia="Times New Roman" w:hAnsi="Times New Roman"/>
                <w:sz w:val="28"/>
                <w:szCs w:val="28"/>
                <w:lang w:eastAsia="ru-RU"/>
              </w:rPr>
              <w:t xml:space="preserve"> 7 розділу </w:t>
            </w:r>
            <w:r w:rsidR="0018323E" w:rsidRPr="00C643B7">
              <w:rPr>
                <w:rFonts w:ascii="Times New Roman" w:eastAsia="Times New Roman" w:hAnsi="Times New Roman"/>
                <w:sz w:val="28"/>
                <w:szCs w:val="28"/>
                <w:lang w:eastAsia="ru-RU"/>
              </w:rPr>
              <w:t>І</w:t>
            </w:r>
            <w:r w:rsidRPr="00C643B7">
              <w:rPr>
                <w:rFonts w:ascii="Times New Roman" w:eastAsia="Times New Roman" w:hAnsi="Times New Roman"/>
                <w:sz w:val="28"/>
                <w:szCs w:val="28"/>
                <w:lang w:eastAsia="ru-RU"/>
              </w:rPr>
              <w:t xml:space="preserve"> Положення № 850, у </w:t>
            </w:r>
            <w:r w:rsidRPr="00C643B7">
              <w:rPr>
                <w:rFonts w:ascii="Times New Roman" w:eastAsia="Times New Roman" w:hAnsi="Times New Roman"/>
                <w:sz w:val="28"/>
                <w:szCs w:val="28"/>
                <w:lang w:eastAsia="ru-RU"/>
              </w:rPr>
              <w:lastRenderedPageBreak/>
              <w:t xml:space="preserve">структурі страхового портфелю (для страховика який отримав ліцензію на провадження  діяльності за видами страхування іншими, ніж страхування життя) </w:t>
            </w:r>
          </w:p>
          <w:p w:rsidR="008543F3" w:rsidRPr="00C643B7" w:rsidRDefault="008543F3" w:rsidP="004646FD">
            <w:pPr>
              <w:spacing w:line="240" w:lineRule="auto"/>
              <w:jc w:val="both"/>
              <w:rPr>
                <w:rFonts w:ascii="Times New Roman" w:eastAsia="Times New Roman" w:hAnsi="Times New Roman"/>
                <w:sz w:val="28"/>
                <w:szCs w:val="28"/>
                <w:lang w:eastAsia="ru-RU"/>
              </w:rPr>
            </w:pPr>
            <w:r w:rsidRPr="00C643B7">
              <w:rPr>
                <w:rFonts w:ascii="Times New Roman" w:eastAsia="Times New Roman" w:hAnsi="Times New Roman"/>
                <w:sz w:val="28"/>
                <w:szCs w:val="28"/>
                <w:lang w:eastAsia="ru-RU"/>
              </w:rPr>
              <w:t>або частка страхових резервів за договорами довгострокового страхування життя у сформованих резервах зі страхування життя станом на дату оцінки (для страховика, який отримав ліцензію на провадження діяльності зі страхування життя)</w:t>
            </w:r>
          </w:p>
        </w:tc>
        <w:tc>
          <w:tcPr>
            <w:tcW w:w="3827"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lastRenderedPageBreak/>
              <w:t xml:space="preserve">Частка окремих видів страхування у структурі страхового портфелю (чисті премії) за період оцінки </w:t>
            </w:r>
            <w:r w:rsidRPr="00C643B7">
              <w:rPr>
                <w:sz w:val="28"/>
                <w:szCs w:val="28"/>
                <w:lang w:val="uk-UA"/>
              </w:rPr>
              <w:lastRenderedPageBreak/>
              <w:t xml:space="preserve">становить менше 10% (для страховика який отримав ліцензію на провадження  діяльності за видами страхування іншими, ніж страхування життя) </w:t>
            </w:r>
          </w:p>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або частка страхових резервів за договорами довгострокового страхування життя у сформованих резервах зі страхування життя станом на дату оцінки становить менше 25% (для страховика, який отримав ліцензію на провадження діяльності зі страхування життя).</w:t>
            </w:r>
          </w:p>
          <w:p w:rsidR="008543F3" w:rsidRPr="00C643B7" w:rsidRDefault="008543F3" w:rsidP="004646FD">
            <w:pPr>
              <w:pStyle w:val="rvps14"/>
              <w:spacing w:before="0" w:beforeAutospacing="0" w:after="0" w:afterAutospacing="0"/>
              <w:jc w:val="both"/>
              <w:rPr>
                <w:sz w:val="28"/>
                <w:szCs w:val="28"/>
                <w:shd w:val="clear" w:color="auto" w:fill="FFFFFF"/>
                <w:lang w:val="uk-UA"/>
              </w:rPr>
            </w:pPr>
          </w:p>
        </w:tc>
        <w:tc>
          <w:tcPr>
            <w:tcW w:w="3402"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lastRenderedPageBreak/>
              <w:t xml:space="preserve">Частка окремих видів страхування у структурі страхового портфелю (чисті премії) за період </w:t>
            </w:r>
            <w:r w:rsidRPr="00C643B7">
              <w:rPr>
                <w:sz w:val="28"/>
                <w:szCs w:val="28"/>
                <w:lang w:val="uk-UA"/>
              </w:rPr>
              <w:lastRenderedPageBreak/>
              <w:t xml:space="preserve">оцінки становить 10 і більше %, але  менше 25% (для страховика який отримав ліцензію на провадження  діяльності за видами страхування іншими, ніж страхування життя) </w:t>
            </w:r>
          </w:p>
          <w:p w:rsidR="008543F3" w:rsidRPr="00C643B7" w:rsidRDefault="008543F3" w:rsidP="004646FD">
            <w:pPr>
              <w:spacing w:line="240" w:lineRule="auto"/>
              <w:jc w:val="both"/>
              <w:rPr>
                <w:sz w:val="28"/>
                <w:szCs w:val="28"/>
              </w:rPr>
            </w:pPr>
            <w:r w:rsidRPr="00C643B7">
              <w:rPr>
                <w:rFonts w:ascii="Times New Roman" w:hAnsi="Times New Roman"/>
                <w:sz w:val="28"/>
                <w:szCs w:val="28"/>
              </w:rPr>
              <w:t>або частка страхових резервів за договорами довгострокового страхування життя у сформованих резервах зі страхування життя станом на дату оцінки становить 25 і більше %, але менше 50% (для страховика, який отримав ліцензію на провадження діяльності зі страхування життя)</w:t>
            </w: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lastRenderedPageBreak/>
              <w:t xml:space="preserve">Частка окремих видів страхування у структурі страхового портфелю (чисті премії) за період </w:t>
            </w:r>
            <w:r w:rsidRPr="00C643B7">
              <w:rPr>
                <w:sz w:val="28"/>
                <w:szCs w:val="28"/>
                <w:lang w:val="uk-UA"/>
              </w:rPr>
              <w:lastRenderedPageBreak/>
              <w:t xml:space="preserve">оцінки становить 25 і більше %, але менше 50% (для страховика який отримав ліцензію на провадження  діяльності за видами страхування іншими, ніж страхування життя) </w:t>
            </w:r>
          </w:p>
          <w:p w:rsidR="008543F3" w:rsidRPr="00C643B7" w:rsidRDefault="008543F3" w:rsidP="004646FD">
            <w:pPr>
              <w:spacing w:line="240" w:lineRule="auto"/>
              <w:jc w:val="both"/>
              <w:rPr>
                <w:rFonts w:ascii="Times New Roman" w:eastAsia="Times New Roman" w:hAnsi="Times New Roman"/>
                <w:sz w:val="28"/>
                <w:szCs w:val="28"/>
                <w:lang w:eastAsia="ru-RU"/>
              </w:rPr>
            </w:pPr>
            <w:r w:rsidRPr="00C643B7">
              <w:rPr>
                <w:rFonts w:ascii="Times New Roman" w:hAnsi="Times New Roman"/>
                <w:sz w:val="28"/>
                <w:szCs w:val="28"/>
              </w:rPr>
              <w:t>або частка страхових резервів за договорами довгострокового страхування життя у сформованих резервах зі страхування життя станом на дату оцінки становить 50 і більше %, але менше 75% (для страховика, який отримав ліцензію на провадження діяльності зі страхування життя)</w:t>
            </w: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lastRenderedPageBreak/>
              <w:t xml:space="preserve">Частка окремих видів страхування у структурі страхового портфелю (чисті премії) за період </w:t>
            </w:r>
            <w:r w:rsidRPr="00C643B7">
              <w:rPr>
                <w:sz w:val="28"/>
                <w:szCs w:val="28"/>
                <w:lang w:val="uk-UA"/>
              </w:rPr>
              <w:lastRenderedPageBreak/>
              <w:t xml:space="preserve">оцінки становить 50  і більше % (для страховика який отримав ліцензію на провадження  діяльності за видами страхування іншими, ніж страхування життя) </w:t>
            </w:r>
          </w:p>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або частка страхових резервів за договорами довгострокового страхування життя у сформованих резервах зі страхування життя станом на дату оцінки становить 75% і більше (для страховика, який отримав ліцензію на провадження діяльності зі страхування життя)</w:t>
            </w:r>
          </w:p>
          <w:p w:rsidR="008543F3" w:rsidRPr="00C643B7" w:rsidRDefault="008543F3" w:rsidP="004646FD">
            <w:pPr>
              <w:pStyle w:val="rvps14"/>
              <w:spacing w:before="0" w:beforeAutospacing="0" w:after="0" w:afterAutospacing="0"/>
              <w:jc w:val="both"/>
              <w:rPr>
                <w:sz w:val="28"/>
                <w:szCs w:val="28"/>
                <w:shd w:val="clear" w:color="auto" w:fill="FFFFFF"/>
                <w:lang w:val="uk-UA"/>
              </w:rPr>
            </w:pP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lastRenderedPageBreak/>
              <w:t>50</w:t>
            </w:r>
          </w:p>
        </w:tc>
      </w:tr>
      <w:tr w:rsidR="008543F3" w:rsidRPr="00C643B7" w:rsidTr="003863AF">
        <w:tc>
          <w:tcPr>
            <w:tcW w:w="704" w:type="dxa"/>
          </w:tcPr>
          <w:p w:rsidR="008543F3" w:rsidRPr="00C643B7" w:rsidRDefault="009B47F6" w:rsidP="004646FD">
            <w:pPr>
              <w:spacing w:line="240" w:lineRule="auto"/>
              <w:jc w:val="center"/>
              <w:rPr>
                <w:rFonts w:ascii="Times New Roman" w:eastAsia="Times New Roman" w:hAnsi="Times New Roman"/>
                <w:sz w:val="28"/>
                <w:szCs w:val="28"/>
                <w:lang w:eastAsia="ru-RU"/>
              </w:rPr>
            </w:pPr>
            <w:r w:rsidRPr="00C643B7">
              <w:rPr>
                <w:rFonts w:ascii="Times New Roman" w:eastAsia="Times New Roman" w:hAnsi="Times New Roman"/>
                <w:sz w:val="28"/>
                <w:szCs w:val="28"/>
                <w:lang w:eastAsia="ru-RU"/>
              </w:rPr>
              <w:t>12</w:t>
            </w:r>
          </w:p>
        </w:tc>
        <w:tc>
          <w:tcPr>
            <w:tcW w:w="704" w:type="dxa"/>
            <w:shd w:val="clear" w:color="auto" w:fill="auto"/>
          </w:tcPr>
          <w:p w:rsidR="008543F3" w:rsidRPr="00C643B7" w:rsidRDefault="008543F3" w:rsidP="004646FD">
            <w:pPr>
              <w:spacing w:line="240" w:lineRule="auto"/>
              <w:rPr>
                <w:rFonts w:ascii="Times New Roman" w:hAnsi="Times New Roman"/>
                <w:sz w:val="28"/>
                <w:szCs w:val="28"/>
              </w:rPr>
            </w:pPr>
            <w:r w:rsidRPr="00C643B7">
              <w:rPr>
                <w:rFonts w:ascii="Times New Roman" w:eastAsia="Times New Roman" w:hAnsi="Times New Roman"/>
                <w:sz w:val="28"/>
                <w:szCs w:val="28"/>
                <w:lang w:eastAsia="ru-RU"/>
              </w:rPr>
              <w:t>3</w:t>
            </w:r>
          </w:p>
        </w:tc>
        <w:tc>
          <w:tcPr>
            <w:tcW w:w="16731" w:type="dxa"/>
            <w:gridSpan w:val="5"/>
            <w:shd w:val="clear" w:color="auto" w:fill="auto"/>
          </w:tcPr>
          <w:p w:rsidR="008543F3" w:rsidRPr="00C643B7" w:rsidRDefault="008543F3" w:rsidP="004646FD">
            <w:pPr>
              <w:pStyle w:val="rvps14"/>
              <w:spacing w:before="0" w:beforeAutospacing="0" w:after="0" w:afterAutospacing="0"/>
              <w:rPr>
                <w:sz w:val="28"/>
                <w:szCs w:val="28"/>
                <w:lang w:val="uk-UA"/>
              </w:rPr>
            </w:pPr>
            <w:r w:rsidRPr="00C643B7">
              <w:rPr>
                <w:sz w:val="28"/>
                <w:szCs w:val="28"/>
                <w:lang w:val="uk-UA"/>
              </w:rPr>
              <w:t>Виконання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p>
        </w:tc>
        <w:tc>
          <w:tcPr>
            <w:tcW w:w="1418" w:type="dxa"/>
            <w:shd w:val="clear" w:color="auto" w:fill="auto"/>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50</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13</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3.1</w:t>
            </w:r>
          </w:p>
        </w:tc>
        <w:tc>
          <w:tcPr>
            <w:tcW w:w="2982" w:type="dxa"/>
          </w:tcPr>
          <w:p w:rsidR="008543F3" w:rsidRPr="00C643B7" w:rsidRDefault="008543F3" w:rsidP="004646FD">
            <w:pPr>
              <w:spacing w:line="240" w:lineRule="auto"/>
              <w:jc w:val="both"/>
              <w:rPr>
                <w:rFonts w:ascii="Times New Roman" w:hAnsi="Times New Roman"/>
                <w:sz w:val="28"/>
                <w:szCs w:val="28"/>
                <w:shd w:val="clear" w:color="auto" w:fill="FFFFFF"/>
              </w:rPr>
            </w:pPr>
            <w:r w:rsidRPr="00C643B7">
              <w:rPr>
                <w:rFonts w:ascii="Times New Roman" w:hAnsi="Times New Roman"/>
                <w:sz w:val="28"/>
                <w:szCs w:val="28"/>
              </w:rPr>
              <w:t xml:space="preserve">Дотримання </w:t>
            </w:r>
            <w:r w:rsidRPr="00C643B7">
              <w:rPr>
                <w:rFonts w:ascii="Times New Roman" w:hAnsi="Times New Roman"/>
                <w:sz w:val="28"/>
                <w:szCs w:val="28"/>
                <w:shd w:val="clear" w:color="auto" w:fill="FFFFFF"/>
              </w:rPr>
              <w:t xml:space="preserve">нормативу </w:t>
            </w:r>
            <w:r w:rsidRPr="00C643B7">
              <w:rPr>
                <w:rFonts w:ascii="Times New Roman" w:hAnsi="Times New Roman"/>
                <w:sz w:val="28"/>
                <w:szCs w:val="28"/>
                <w:shd w:val="clear" w:color="auto" w:fill="FFFFFF"/>
              </w:rPr>
              <w:lastRenderedPageBreak/>
              <w:t xml:space="preserve">платоспроможності та достатності капіталу (для страховика-власника істотної участі в іншому страховику – дотримання нормативу платоспроможності та достатності капіталу власника істотної участі) </w:t>
            </w:r>
          </w:p>
          <w:p w:rsidR="008543F3" w:rsidRPr="00C643B7" w:rsidRDefault="008543F3" w:rsidP="004646FD">
            <w:pPr>
              <w:spacing w:line="240" w:lineRule="auto"/>
              <w:jc w:val="both"/>
              <w:rPr>
                <w:rFonts w:ascii="Times New Roman" w:hAnsi="Times New Roman"/>
                <w:sz w:val="28"/>
                <w:szCs w:val="28"/>
                <w:shd w:val="clear" w:color="auto" w:fill="FFFFFF"/>
              </w:rPr>
            </w:pPr>
          </w:p>
          <w:p w:rsidR="008543F3" w:rsidRPr="00C643B7" w:rsidRDefault="008543F3" w:rsidP="004646FD">
            <w:pPr>
              <w:spacing w:line="240" w:lineRule="auto"/>
              <w:jc w:val="both"/>
              <w:rPr>
                <w:rFonts w:ascii="Times New Roman" w:hAnsi="Times New Roman"/>
                <w:sz w:val="28"/>
                <w:szCs w:val="28"/>
              </w:rPr>
            </w:pPr>
          </w:p>
        </w:tc>
        <w:tc>
          <w:tcPr>
            <w:tcW w:w="3827"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lang w:val="uk-UA"/>
              </w:rPr>
              <w:lastRenderedPageBreak/>
              <w:t>Виконання</w:t>
            </w:r>
            <w:r w:rsidRPr="00C643B7">
              <w:rPr>
                <w:sz w:val="28"/>
                <w:szCs w:val="28"/>
                <w:shd w:val="clear" w:color="auto" w:fill="FFFFFF"/>
                <w:lang w:val="uk-UA"/>
              </w:rPr>
              <w:t xml:space="preserve"> нормативу платоспроможності та </w:t>
            </w:r>
            <w:r w:rsidRPr="00C643B7">
              <w:rPr>
                <w:sz w:val="28"/>
                <w:szCs w:val="28"/>
                <w:shd w:val="clear" w:color="auto" w:fill="FFFFFF"/>
                <w:lang w:val="uk-UA"/>
              </w:rPr>
              <w:lastRenderedPageBreak/>
              <w:t xml:space="preserve">достатності капіталу, встановленого відповідно до розділу ІІІ Положення № 850, при наявності обсягу прийнятних активів, що перевищує нормативний обсяг, збільшений на </w:t>
            </w:r>
            <w:r w:rsidR="002B4212" w:rsidRPr="00C643B7">
              <w:rPr>
                <w:sz w:val="28"/>
                <w:szCs w:val="28"/>
                <w:shd w:val="clear" w:color="auto" w:fill="FFFFFF"/>
                <w:lang w:val="uk-UA"/>
              </w:rPr>
              <w:t xml:space="preserve">більше ніж на </w:t>
            </w:r>
            <w:r w:rsidRPr="00C643B7">
              <w:rPr>
                <w:sz w:val="28"/>
                <w:szCs w:val="28"/>
                <w:shd w:val="clear" w:color="auto" w:fill="FFFFFF"/>
                <w:lang w:val="uk-UA"/>
              </w:rPr>
              <w:t>20%</w:t>
            </w:r>
            <w:r w:rsidR="005E2D18" w:rsidRPr="00C643B7">
              <w:rPr>
                <w:sz w:val="28"/>
                <w:szCs w:val="28"/>
                <w:shd w:val="clear" w:color="auto" w:fill="FFFFFF"/>
                <w:lang w:val="uk-UA"/>
              </w:rPr>
              <w:t xml:space="preserve"> </w:t>
            </w:r>
            <w:r w:rsidR="000464DF" w:rsidRPr="00C643B7">
              <w:rPr>
                <w:sz w:val="28"/>
                <w:szCs w:val="28"/>
                <w:shd w:val="clear" w:color="auto" w:fill="FFFFFF"/>
                <w:lang w:val="uk-UA"/>
              </w:rPr>
              <w:t xml:space="preserve">включно </w:t>
            </w:r>
            <w:r w:rsidRPr="00C643B7">
              <w:rPr>
                <w:sz w:val="28"/>
                <w:szCs w:val="28"/>
                <w:shd w:val="clear" w:color="auto" w:fill="FFFFFF"/>
                <w:lang w:val="uk-UA"/>
              </w:rPr>
              <w:t>величини «К» або «НЗП» (у разі якщо «НЗП» більше величини «К»), визначених відповідно до вимог пункту 1 розділу ІІІ Положення № 850</w:t>
            </w:r>
          </w:p>
          <w:p w:rsidR="008543F3" w:rsidRPr="00C643B7" w:rsidRDefault="008543F3" w:rsidP="004646FD">
            <w:pPr>
              <w:pStyle w:val="rvps14"/>
              <w:spacing w:before="0" w:beforeAutospacing="0" w:after="0" w:afterAutospacing="0"/>
              <w:jc w:val="both"/>
              <w:rPr>
                <w:sz w:val="28"/>
                <w:szCs w:val="28"/>
                <w:shd w:val="clear" w:color="auto" w:fill="FFFFFF"/>
                <w:lang w:val="uk-UA"/>
              </w:rPr>
            </w:pPr>
          </w:p>
          <w:p w:rsidR="008543F3" w:rsidRPr="00C643B7" w:rsidRDefault="008543F3" w:rsidP="004646FD">
            <w:pPr>
              <w:pStyle w:val="rvps14"/>
              <w:spacing w:before="0" w:beforeAutospacing="0" w:after="0" w:afterAutospacing="0"/>
              <w:jc w:val="both"/>
              <w:rPr>
                <w:sz w:val="28"/>
                <w:szCs w:val="28"/>
                <w:lang w:val="uk-UA"/>
              </w:rPr>
            </w:pPr>
          </w:p>
        </w:tc>
        <w:tc>
          <w:tcPr>
            <w:tcW w:w="3402"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lang w:val="uk-UA"/>
              </w:rPr>
              <w:lastRenderedPageBreak/>
              <w:t>Виконання</w:t>
            </w:r>
            <w:r w:rsidRPr="00C643B7">
              <w:rPr>
                <w:sz w:val="28"/>
                <w:szCs w:val="28"/>
                <w:shd w:val="clear" w:color="auto" w:fill="FFFFFF"/>
                <w:lang w:val="uk-UA"/>
              </w:rPr>
              <w:t xml:space="preserve"> нормативу платоспроможності та </w:t>
            </w:r>
            <w:r w:rsidRPr="00C643B7">
              <w:rPr>
                <w:sz w:val="28"/>
                <w:szCs w:val="28"/>
                <w:shd w:val="clear" w:color="auto" w:fill="FFFFFF"/>
                <w:lang w:val="uk-UA"/>
              </w:rPr>
              <w:lastRenderedPageBreak/>
              <w:t xml:space="preserve">достатності капіталу, встановленого відповідно до розділу ІІІ Положення № 850, при наявності обсягу прийнятних активів, що перевищує нормативний обсяг, збільшений на обсяг </w:t>
            </w:r>
            <w:r w:rsidR="002B4212" w:rsidRPr="00C643B7">
              <w:rPr>
                <w:sz w:val="28"/>
                <w:szCs w:val="28"/>
                <w:shd w:val="clear" w:color="auto" w:fill="FFFFFF"/>
                <w:lang w:val="uk-UA"/>
              </w:rPr>
              <w:t xml:space="preserve">більше </w:t>
            </w:r>
            <w:r w:rsidRPr="00C643B7">
              <w:rPr>
                <w:sz w:val="28"/>
                <w:szCs w:val="28"/>
                <w:shd w:val="clear" w:color="auto" w:fill="FFFFFF"/>
                <w:lang w:val="uk-UA"/>
              </w:rPr>
              <w:t>10% до 20% величини «К»</w:t>
            </w:r>
            <w:r w:rsidR="003863AF" w:rsidRPr="00C643B7">
              <w:rPr>
                <w:sz w:val="28"/>
                <w:szCs w:val="28"/>
                <w:shd w:val="clear" w:color="auto" w:fill="FFFFFF"/>
                <w:lang w:val="uk-UA"/>
              </w:rPr>
              <w:t xml:space="preserve"> </w:t>
            </w:r>
            <w:r w:rsidRPr="00C643B7">
              <w:rPr>
                <w:sz w:val="28"/>
                <w:szCs w:val="28"/>
                <w:shd w:val="clear" w:color="auto" w:fill="FFFFFF"/>
                <w:lang w:val="uk-UA"/>
              </w:rPr>
              <w:t>або «НЗП» (у разі якщо «НЗП» більше величини «К»), визначених відповідно до вимог пункту 1 розділу ІІІ Положення № 850</w:t>
            </w:r>
          </w:p>
          <w:p w:rsidR="008543F3" w:rsidRPr="00C643B7" w:rsidRDefault="008543F3" w:rsidP="004646FD">
            <w:pPr>
              <w:pStyle w:val="rvps14"/>
              <w:spacing w:before="0" w:beforeAutospacing="0" w:after="0" w:afterAutospacing="0"/>
              <w:jc w:val="both"/>
              <w:rPr>
                <w:sz w:val="28"/>
                <w:szCs w:val="28"/>
                <w:lang w:val="uk-UA"/>
              </w:rPr>
            </w:pPr>
          </w:p>
        </w:tc>
        <w:tc>
          <w:tcPr>
            <w:tcW w:w="3260"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lang w:val="uk-UA"/>
              </w:rPr>
              <w:lastRenderedPageBreak/>
              <w:t>Виконання</w:t>
            </w:r>
            <w:r w:rsidRPr="00C643B7">
              <w:rPr>
                <w:sz w:val="28"/>
                <w:szCs w:val="28"/>
                <w:shd w:val="clear" w:color="auto" w:fill="FFFFFF"/>
                <w:lang w:val="uk-UA"/>
              </w:rPr>
              <w:t xml:space="preserve"> нормативу платоспроможності та </w:t>
            </w:r>
            <w:r w:rsidRPr="00C643B7">
              <w:rPr>
                <w:sz w:val="28"/>
                <w:szCs w:val="28"/>
                <w:shd w:val="clear" w:color="auto" w:fill="FFFFFF"/>
                <w:lang w:val="uk-UA"/>
              </w:rPr>
              <w:lastRenderedPageBreak/>
              <w:t xml:space="preserve">достатності капіталу, встановленого відповідно до розділу ІІІ Положення № 850, при наявності обсягу прийнятних активів, що перевищує нормативний обсяг, збільшений на обсяг до 10% </w:t>
            </w:r>
            <w:r w:rsidR="000464DF" w:rsidRPr="00C643B7">
              <w:rPr>
                <w:sz w:val="28"/>
                <w:szCs w:val="28"/>
                <w:shd w:val="clear" w:color="auto" w:fill="FFFFFF"/>
                <w:lang w:val="uk-UA"/>
              </w:rPr>
              <w:t xml:space="preserve">включно </w:t>
            </w:r>
            <w:r w:rsidRPr="00C643B7">
              <w:rPr>
                <w:sz w:val="28"/>
                <w:szCs w:val="28"/>
                <w:shd w:val="clear" w:color="auto" w:fill="FFFFFF"/>
                <w:lang w:val="uk-UA"/>
              </w:rPr>
              <w:t>від величини «К» або «НЗП» (у разі якщо «НЗП» більше величини «К»), визначених відповідно до вимог пункту 1 розділу ІІІ Положення № 850</w:t>
            </w:r>
          </w:p>
          <w:p w:rsidR="008543F3" w:rsidRPr="00C643B7" w:rsidRDefault="008543F3" w:rsidP="004646FD">
            <w:pPr>
              <w:pStyle w:val="rvps14"/>
              <w:spacing w:before="0" w:beforeAutospacing="0" w:after="0" w:afterAutospacing="0"/>
              <w:jc w:val="both"/>
              <w:rPr>
                <w:sz w:val="28"/>
                <w:szCs w:val="28"/>
                <w:lang w:val="uk-UA"/>
              </w:rPr>
            </w:pP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lastRenderedPageBreak/>
              <w:t>Невиконання</w:t>
            </w:r>
            <w:r w:rsidRPr="00C643B7">
              <w:rPr>
                <w:sz w:val="28"/>
                <w:szCs w:val="28"/>
                <w:shd w:val="clear" w:color="auto" w:fill="FFFFFF"/>
                <w:lang w:val="uk-UA"/>
              </w:rPr>
              <w:t xml:space="preserve"> нормативу платоспроможності та </w:t>
            </w:r>
            <w:r w:rsidRPr="00C643B7">
              <w:rPr>
                <w:sz w:val="28"/>
                <w:szCs w:val="28"/>
                <w:shd w:val="clear" w:color="auto" w:fill="FFFFFF"/>
                <w:lang w:val="uk-UA"/>
              </w:rPr>
              <w:lastRenderedPageBreak/>
              <w:t>достатності капіталу, встановленого відповідно до  розділу ІІІ Положення № 850</w:t>
            </w: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lastRenderedPageBreak/>
              <w:t>35</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14</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3.2</w:t>
            </w:r>
          </w:p>
        </w:tc>
        <w:tc>
          <w:tcPr>
            <w:tcW w:w="2982" w:type="dxa"/>
          </w:tcPr>
          <w:p w:rsidR="008543F3" w:rsidRPr="00C643B7" w:rsidRDefault="008543F3" w:rsidP="004646FD">
            <w:pPr>
              <w:spacing w:line="240" w:lineRule="auto"/>
              <w:jc w:val="both"/>
              <w:rPr>
                <w:rFonts w:ascii="Times New Roman" w:hAnsi="Times New Roman"/>
                <w:sz w:val="28"/>
                <w:szCs w:val="28"/>
                <w:shd w:val="clear" w:color="auto" w:fill="FFFFFF"/>
              </w:rPr>
            </w:pPr>
            <w:r w:rsidRPr="00C643B7">
              <w:rPr>
                <w:rFonts w:ascii="Times New Roman" w:hAnsi="Times New Roman"/>
                <w:sz w:val="28"/>
                <w:szCs w:val="28"/>
              </w:rPr>
              <w:t xml:space="preserve">Дотримання </w:t>
            </w:r>
            <w:r w:rsidRPr="00C643B7">
              <w:rPr>
                <w:rFonts w:ascii="Times New Roman" w:hAnsi="Times New Roman"/>
                <w:sz w:val="28"/>
                <w:szCs w:val="28"/>
                <w:shd w:val="clear" w:color="auto" w:fill="FFFFFF"/>
              </w:rPr>
              <w:t xml:space="preserve">нормативу ризиковості операцій </w:t>
            </w:r>
          </w:p>
          <w:p w:rsidR="008543F3" w:rsidRPr="00C643B7" w:rsidRDefault="008543F3" w:rsidP="004646FD">
            <w:pPr>
              <w:spacing w:line="240" w:lineRule="auto"/>
              <w:jc w:val="both"/>
              <w:rPr>
                <w:rFonts w:ascii="Times New Roman" w:hAnsi="Times New Roman"/>
                <w:sz w:val="28"/>
                <w:szCs w:val="28"/>
                <w:shd w:val="clear" w:color="auto" w:fill="FFFFFF"/>
              </w:rPr>
            </w:pPr>
          </w:p>
          <w:p w:rsidR="008543F3" w:rsidRPr="00C643B7" w:rsidRDefault="008543F3" w:rsidP="004646FD">
            <w:pPr>
              <w:spacing w:line="240" w:lineRule="auto"/>
              <w:jc w:val="both"/>
              <w:rPr>
                <w:rFonts w:ascii="Times New Roman" w:hAnsi="Times New Roman"/>
                <w:sz w:val="28"/>
                <w:szCs w:val="28"/>
              </w:rPr>
            </w:pPr>
          </w:p>
        </w:tc>
        <w:tc>
          <w:tcPr>
            <w:tcW w:w="3827"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t>Виконання</w:t>
            </w:r>
            <w:r w:rsidRPr="00C643B7">
              <w:rPr>
                <w:sz w:val="28"/>
                <w:szCs w:val="28"/>
                <w:shd w:val="clear" w:color="auto" w:fill="FFFFFF"/>
                <w:lang w:val="uk-UA"/>
              </w:rPr>
              <w:t xml:space="preserve"> нормативу ризиковості операцій, встановленого відповідно до розділу </w:t>
            </w:r>
            <w:r w:rsidRPr="00C643B7">
              <w:rPr>
                <w:bCs/>
                <w:sz w:val="28"/>
                <w:szCs w:val="28"/>
                <w:shd w:val="clear" w:color="auto" w:fill="FFFFFF"/>
                <w:lang w:val="uk-UA"/>
              </w:rPr>
              <w:t>V</w:t>
            </w:r>
            <w:r w:rsidRPr="00C643B7">
              <w:rPr>
                <w:sz w:val="28"/>
                <w:szCs w:val="28"/>
                <w:shd w:val="clear" w:color="auto" w:fill="FFFFFF"/>
                <w:lang w:val="uk-UA"/>
              </w:rPr>
              <w:t xml:space="preserve"> Положення № 850, при наявності профіциту обсягу прийнятних активів у порівнянні з нормативним обсягом 10% і більше від нормативного обсягу, або </w:t>
            </w:r>
            <w:r w:rsidRPr="00C643B7">
              <w:rPr>
                <w:sz w:val="28"/>
                <w:szCs w:val="28"/>
                <w:shd w:val="clear" w:color="auto" w:fill="FFFFFF"/>
                <w:lang w:val="uk-UA"/>
              </w:rPr>
              <w:lastRenderedPageBreak/>
              <w:t>нормативний обсяг дорівнює 0 (у страховика відсутні сформовані страхові резерви)</w:t>
            </w:r>
          </w:p>
        </w:tc>
        <w:tc>
          <w:tcPr>
            <w:tcW w:w="3402" w:type="dxa"/>
          </w:tcPr>
          <w:p w:rsidR="008543F3" w:rsidRPr="00C643B7" w:rsidRDefault="008543F3" w:rsidP="004646FD">
            <w:pPr>
              <w:pStyle w:val="rvps14"/>
              <w:spacing w:before="0" w:beforeAutospacing="0" w:after="0" w:afterAutospacing="0"/>
              <w:jc w:val="both"/>
              <w:rPr>
                <w:sz w:val="28"/>
                <w:szCs w:val="28"/>
                <w:shd w:val="clear" w:color="auto" w:fill="FFFFFF"/>
                <w:lang w:val="uk-UA"/>
              </w:rPr>
            </w:pPr>
            <w:r w:rsidRPr="00C643B7">
              <w:rPr>
                <w:sz w:val="28"/>
                <w:szCs w:val="28"/>
                <w:lang w:val="uk-UA"/>
              </w:rPr>
              <w:lastRenderedPageBreak/>
              <w:t>Виконання</w:t>
            </w:r>
            <w:r w:rsidRPr="00C643B7">
              <w:rPr>
                <w:sz w:val="28"/>
                <w:szCs w:val="28"/>
                <w:shd w:val="clear" w:color="auto" w:fill="FFFFFF"/>
                <w:lang w:val="uk-UA"/>
              </w:rPr>
              <w:t xml:space="preserve"> нормативу ризиковості операцій, встановленого відповідно до розділу </w:t>
            </w:r>
            <w:r w:rsidRPr="00C643B7">
              <w:rPr>
                <w:bCs/>
                <w:sz w:val="28"/>
                <w:szCs w:val="28"/>
                <w:shd w:val="clear" w:color="auto" w:fill="FFFFFF"/>
                <w:lang w:val="uk-UA"/>
              </w:rPr>
              <w:t>V</w:t>
            </w:r>
            <w:r w:rsidRPr="00C643B7">
              <w:rPr>
                <w:sz w:val="28"/>
                <w:szCs w:val="28"/>
                <w:shd w:val="clear" w:color="auto" w:fill="FFFFFF"/>
                <w:lang w:val="uk-UA"/>
              </w:rPr>
              <w:t xml:space="preserve"> Положення № 850, при наявності профіциту обсягу прийнятних активів у порівнянні з нормативним </w:t>
            </w:r>
            <w:r w:rsidRPr="00C643B7">
              <w:rPr>
                <w:sz w:val="28"/>
                <w:szCs w:val="28"/>
                <w:shd w:val="clear" w:color="auto" w:fill="FFFFFF"/>
                <w:lang w:val="uk-UA"/>
              </w:rPr>
              <w:lastRenderedPageBreak/>
              <w:t xml:space="preserve">обсягом </w:t>
            </w:r>
            <w:r w:rsidR="002B4212" w:rsidRPr="00C643B7">
              <w:rPr>
                <w:sz w:val="28"/>
                <w:szCs w:val="28"/>
                <w:shd w:val="clear" w:color="auto" w:fill="FFFFFF"/>
                <w:lang w:val="uk-UA"/>
              </w:rPr>
              <w:t xml:space="preserve">більше </w:t>
            </w:r>
            <w:r w:rsidRPr="00C643B7">
              <w:rPr>
                <w:sz w:val="28"/>
                <w:szCs w:val="28"/>
                <w:shd w:val="clear" w:color="auto" w:fill="FFFFFF"/>
                <w:lang w:val="uk-UA"/>
              </w:rPr>
              <w:t>5% до 10% від нормативного обсягу</w:t>
            </w:r>
          </w:p>
          <w:p w:rsidR="00FF7774" w:rsidRPr="00C643B7" w:rsidRDefault="00FF7774" w:rsidP="004646FD">
            <w:pPr>
              <w:pStyle w:val="rvps14"/>
              <w:spacing w:before="0" w:beforeAutospacing="0" w:after="0" w:afterAutospacing="0"/>
              <w:jc w:val="both"/>
              <w:rPr>
                <w:sz w:val="28"/>
                <w:szCs w:val="28"/>
                <w:lang w:val="uk-UA"/>
              </w:rPr>
            </w:pP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lastRenderedPageBreak/>
              <w:t>Виконання</w:t>
            </w:r>
            <w:r w:rsidRPr="00C643B7">
              <w:rPr>
                <w:sz w:val="28"/>
                <w:szCs w:val="28"/>
                <w:shd w:val="clear" w:color="auto" w:fill="FFFFFF"/>
                <w:lang w:val="uk-UA"/>
              </w:rPr>
              <w:t xml:space="preserve"> нормативу ризиковості операцій, встановленого відповідно до розділу </w:t>
            </w:r>
            <w:r w:rsidRPr="00C643B7">
              <w:rPr>
                <w:bCs/>
                <w:sz w:val="28"/>
                <w:szCs w:val="28"/>
                <w:shd w:val="clear" w:color="auto" w:fill="FFFFFF"/>
                <w:lang w:val="uk-UA"/>
              </w:rPr>
              <w:t>V</w:t>
            </w:r>
            <w:r w:rsidRPr="00C643B7">
              <w:rPr>
                <w:sz w:val="28"/>
                <w:szCs w:val="28"/>
                <w:shd w:val="clear" w:color="auto" w:fill="FFFFFF"/>
                <w:lang w:val="uk-UA"/>
              </w:rPr>
              <w:t xml:space="preserve"> Положення № 850, при наявності профіциту обсягу прийнятних активів у порівнянні з нормативним обсягом </w:t>
            </w:r>
            <w:r w:rsidR="002B4212" w:rsidRPr="00C643B7">
              <w:rPr>
                <w:sz w:val="28"/>
                <w:szCs w:val="28"/>
                <w:shd w:val="clear" w:color="auto" w:fill="FFFFFF"/>
                <w:lang w:val="uk-UA"/>
              </w:rPr>
              <w:lastRenderedPageBreak/>
              <w:t xml:space="preserve">більше </w:t>
            </w:r>
            <w:r w:rsidRPr="00C643B7">
              <w:rPr>
                <w:sz w:val="28"/>
                <w:szCs w:val="28"/>
                <w:shd w:val="clear" w:color="auto" w:fill="FFFFFF"/>
                <w:lang w:val="uk-UA"/>
              </w:rPr>
              <w:t xml:space="preserve">0%  до 5% </w:t>
            </w:r>
            <w:r w:rsidR="000464DF" w:rsidRPr="00C643B7">
              <w:rPr>
                <w:sz w:val="28"/>
                <w:szCs w:val="28"/>
                <w:shd w:val="clear" w:color="auto" w:fill="FFFFFF"/>
                <w:lang w:val="uk-UA"/>
              </w:rPr>
              <w:t xml:space="preserve">включно </w:t>
            </w:r>
            <w:r w:rsidRPr="00C643B7">
              <w:rPr>
                <w:sz w:val="28"/>
                <w:szCs w:val="28"/>
                <w:shd w:val="clear" w:color="auto" w:fill="FFFFFF"/>
                <w:lang w:val="uk-UA"/>
              </w:rPr>
              <w:t>від нормативного обсягу</w:t>
            </w: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shd w:val="clear" w:color="auto" w:fill="FFFFFF"/>
                <w:lang w:val="uk-UA"/>
              </w:rPr>
              <w:lastRenderedPageBreak/>
              <w:t>Нев</w:t>
            </w:r>
            <w:r w:rsidRPr="00C643B7">
              <w:rPr>
                <w:sz w:val="28"/>
                <w:szCs w:val="28"/>
                <w:lang w:val="uk-UA"/>
              </w:rPr>
              <w:t>иконання</w:t>
            </w:r>
            <w:r w:rsidRPr="00C643B7">
              <w:rPr>
                <w:sz w:val="28"/>
                <w:szCs w:val="28"/>
                <w:shd w:val="clear" w:color="auto" w:fill="FFFFFF"/>
                <w:lang w:val="uk-UA"/>
              </w:rPr>
              <w:t xml:space="preserve"> нормативу ризиковості операцій, встановленого відповідно до розділу </w:t>
            </w:r>
            <w:r w:rsidRPr="00C643B7">
              <w:rPr>
                <w:bCs/>
                <w:sz w:val="28"/>
                <w:szCs w:val="28"/>
                <w:shd w:val="clear" w:color="auto" w:fill="FFFFFF"/>
                <w:lang w:val="uk-UA"/>
              </w:rPr>
              <w:t>V</w:t>
            </w:r>
            <w:r w:rsidRPr="00C643B7">
              <w:rPr>
                <w:sz w:val="28"/>
                <w:szCs w:val="28"/>
                <w:shd w:val="clear" w:color="auto" w:fill="FFFFFF"/>
                <w:lang w:val="uk-UA"/>
              </w:rPr>
              <w:t xml:space="preserve"> Положення № 850, </w:t>
            </w: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30</w:t>
            </w:r>
          </w:p>
        </w:tc>
      </w:tr>
      <w:tr w:rsidR="008543F3" w:rsidRPr="00C643B7" w:rsidTr="003863AF">
        <w:trPr>
          <w:trHeight w:val="1986"/>
        </w:trPr>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15</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3.3</w:t>
            </w:r>
          </w:p>
        </w:tc>
        <w:tc>
          <w:tcPr>
            <w:tcW w:w="2982" w:type="dxa"/>
          </w:tcPr>
          <w:p w:rsidR="008543F3" w:rsidRPr="00C643B7" w:rsidRDefault="008543F3" w:rsidP="004646FD">
            <w:pPr>
              <w:spacing w:line="240" w:lineRule="auto"/>
              <w:jc w:val="both"/>
              <w:rPr>
                <w:rFonts w:ascii="Times New Roman" w:eastAsia="Times New Roman" w:hAnsi="Times New Roman"/>
                <w:strike/>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Частка визначених категорій активів з високою ліквідністю, а саме: грошові кошти на поточних та депозитних рахунках, кошти у банківських металах, державні цінні папери у структурі балансу страховика</w:t>
            </w:r>
          </w:p>
        </w:tc>
        <w:tc>
          <w:tcPr>
            <w:tcW w:w="3827" w:type="dxa"/>
          </w:tcPr>
          <w:p w:rsidR="008543F3" w:rsidRPr="00C643B7" w:rsidRDefault="008543F3"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 xml:space="preserve">Сукупна частка обсягів активів з високою ліквідністю становить </w:t>
            </w:r>
            <w:r w:rsidR="002B4212" w:rsidRPr="00C643B7">
              <w:rPr>
                <w:rFonts w:ascii="Times New Roman" w:eastAsia="Times New Roman" w:hAnsi="Times New Roman"/>
                <w:sz w:val="28"/>
                <w:szCs w:val="28"/>
                <w:shd w:val="clear" w:color="auto" w:fill="FFFFFF"/>
                <w:lang w:eastAsia="ru-RU"/>
              </w:rPr>
              <w:t xml:space="preserve">більше ніж </w:t>
            </w:r>
            <w:r w:rsidRPr="00C643B7">
              <w:rPr>
                <w:rFonts w:ascii="Times New Roman" w:eastAsia="Times New Roman" w:hAnsi="Times New Roman"/>
                <w:sz w:val="28"/>
                <w:szCs w:val="28"/>
                <w:shd w:val="clear" w:color="auto" w:fill="FFFFFF"/>
                <w:lang w:eastAsia="ru-RU"/>
              </w:rPr>
              <w:t>50% від загального обсягу активів страховика.</w:t>
            </w:r>
          </w:p>
          <w:p w:rsidR="0089218C" w:rsidRPr="00C643B7" w:rsidRDefault="0089218C" w:rsidP="004646FD">
            <w:pPr>
              <w:spacing w:line="240" w:lineRule="auto"/>
              <w:jc w:val="both"/>
              <w:rPr>
                <w:rFonts w:ascii="Times New Roman" w:eastAsia="Times New Roman" w:hAnsi="Times New Roman"/>
                <w:sz w:val="28"/>
                <w:szCs w:val="28"/>
                <w:shd w:val="clear" w:color="auto" w:fill="FFFFFF"/>
                <w:lang w:eastAsia="ru-RU"/>
              </w:rPr>
            </w:pPr>
          </w:p>
        </w:tc>
        <w:tc>
          <w:tcPr>
            <w:tcW w:w="3402" w:type="dxa"/>
          </w:tcPr>
          <w:p w:rsidR="008543F3" w:rsidRPr="00C643B7" w:rsidRDefault="008543F3"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 xml:space="preserve">Сукупна частка обсягів активів з високою ліквідністю становить </w:t>
            </w:r>
            <w:r w:rsidR="002B4212" w:rsidRPr="00C643B7">
              <w:rPr>
                <w:rFonts w:ascii="Times New Roman" w:eastAsia="Times New Roman" w:hAnsi="Times New Roman"/>
                <w:sz w:val="28"/>
                <w:szCs w:val="28"/>
                <w:shd w:val="clear" w:color="auto" w:fill="FFFFFF"/>
                <w:lang w:eastAsia="ru-RU"/>
              </w:rPr>
              <w:t xml:space="preserve">більше </w:t>
            </w:r>
            <w:r w:rsidRPr="00C643B7">
              <w:rPr>
                <w:rFonts w:ascii="Times New Roman" w:eastAsia="Times New Roman" w:hAnsi="Times New Roman"/>
                <w:sz w:val="28"/>
                <w:szCs w:val="28"/>
                <w:shd w:val="clear" w:color="auto" w:fill="FFFFFF"/>
                <w:lang w:eastAsia="ru-RU"/>
              </w:rPr>
              <w:t xml:space="preserve">30% до 50% </w:t>
            </w:r>
            <w:r w:rsidR="000464DF" w:rsidRPr="00C643B7">
              <w:rPr>
                <w:rFonts w:ascii="Times New Roman" w:eastAsia="Times New Roman" w:hAnsi="Times New Roman"/>
                <w:sz w:val="28"/>
                <w:szCs w:val="28"/>
                <w:shd w:val="clear" w:color="auto" w:fill="FFFFFF"/>
                <w:lang w:eastAsia="ru-RU"/>
              </w:rPr>
              <w:t xml:space="preserve">включно </w:t>
            </w:r>
            <w:r w:rsidRPr="00C643B7">
              <w:rPr>
                <w:rFonts w:ascii="Times New Roman" w:eastAsia="Times New Roman" w:hAnsi="Times New Roman"/>
                <w:sz w:val="28"/>
                <w:szCs w:val="28"/>
                <w:shd w:val="clear" w:color="auto" w:fill="FFFFFF"/>
                <w:lang w:eastAsia="ru-RU"/>
              </w:rPr>
              <w:t>від загального обсягу активів страховика.</w:t>
            </w:r>
          </w:p>
        </w:tc>
        <w:tc>
          <w:tcPr>
            <w:tcW w:w="3260" w:type="dxa"/>
          </w:tcPr>
          <w:p w:rsidR="008543F3" w:rsidRPr="00C643B7" w:rsidRDefault="008543F3"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 xml:space="preserve">Сукупна частка обсягів активів з високою ліквідністю становить </w:t>
            </w:r>
            <w:r w:rsidR="002B4212" w:rsidRPr="00C643B7">
              <w:rPr>
                <w:rFonts w:ascii="Times New Roman" w:eastAsia="Times New Roman" w:hAnsi="Times New Roman"/>
                <w:sz w:val="28"/>
                <w:szCs w:val="28"/>
                <w:shd w:val="clear" w:color="auto" w:fill="FFFFFF"/>
                <w:lang w:eastAsia="ru-RU"/>
              </w:rPr>
              <w:t xml:space="preserve">більше </w:t>
            </w:r>
            <w:r w:rsidRPr="00C643B7">
              <w:rPr>
                <w:rFonts w:ascii="Times New Roman" w:eastAsia="Times New Roman" w:hAnsi="Times New Roman"/>
                <w:sz w:val="28"/>
                <w:szCs w:val="28"/>
                <w:shd w:val="clear" w:color="auto" w:fill="FFFFFF"/>
                <w:lang w:eastAsia="ru-RU"/>
              </w:rPr>
              <w:t xml:space="preserve">20% до 30% </w:t>
            </w:r>
            <w:r w:rsidR="000464DF" w:rsidRPr="00C643B7">
              <w:rPr>
                <w:rFonts w:ascii="Times New Roman" w:eastAsia="Times New Roman" w:hAnsi="Times New Roman"/>
                <w:sz w:val="28"/>
                <w:szCs w:val="28"/>
                <w:shd w:val="clear" w:color="auto" w:fill="FFFFFF"/>
                <w:lang w:eastAsia="ru-RU"/>
              </w:rPr>
              <w:t xml:space="preserve">включно </w:t>
            </w:r>
            <w:r w:rsidRPr="00C643B7">
              <w:rPr>
                <w:rFonts w:ascii="Times New Roman" w:eastAsia="Times New Roman" w:hAnsi="Times New Roman"/>
                <w:sz w:val="28"/>
                <w:szCs w:val="28"/>
                <w:shd w:val="clear" w:color="auto" w:fill="FFFFFF"/>
                <w:lang w:eastAsia="ru-RU"/>
              </w:rPr>
              <w:t>від загального обсягу активів страховика.</w:t>
            </w:r>
          </w:p>
        </w:tc>
        <w:tc>
          <w:tcPr>
            <w:tcW w:w="3260" w:type="dxa"/>
          </w:tcPr>
          <w:p w:rsidR="008543F3" w:rsidRPr="00C643B7" w:rsidRDefault="008543F3"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 xml:space="preserve">Сукупна частка обсягів активів з високою ліквідністю становить до 20% </w:t>
            </w:r>
            <w:r w:rsidR="000464DF" w:rsidRPr="00C643B7">
              <w:rPr>
                <w:rFonts w:ascii="Times New Roman" w:eastAsia="Times New Roman" w:hAnsi="Times New Roman"/>
                <w:sz w:val="28"/>
                <w:szCs w:val="28"/>
                <w:shd w:val="clear" w:color="auto" w:fill="FFFFFF"/>
                <w:lang w:eastAsia="ru-RU"/>
              </w:rPr>
              <w:t xml:space="preserve">включно </w:t>
            </w:r>
            <w:r w:rsidRPr="00C643B7">
              <w:rPr>
                <w:rFonts w:ascii="Times New Roman" w:eastAsia="Times New Roman" w:hAnsi="Times New Roman"/>
                <w:sz w:val="28"/>
                <w:szCs w:val="28"/>
                <w:shd w:val="clear" w:color="auto" w:fill="FFFFFF"/>
                <w:lang w:eastAsia="ru-RU"/>
              </w:rPr>
              <w:t>від загального обсягу активів страховика.</w:t>
            </w: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20</w:t>
            </w:r>
          </w:p>
        </w:tc>
      </w:tr>
      <w:tr w:rsidR="008543F3" w:rsidRPr="00C643B7" w:rsidTr="003863AF">
        <w:tc>
          <w:tcPr>
            <w:tcW w:w="704" w:type="dxa"/>
          </w:tcPr>
          <w:p w:rsidR="008543F3" w:rsidRPr="00C643B7" w:rsidRDefault="009B47F6" w:rsidP="004646FD">
            <w:pPr>
              <w:spacing w:line="240" w:lineRule="auto"/>
              <w:jc w:val="center"/>
              <w:rPr>
                <w:rFonts w:ascii="Times New Roman" w:hAnsi="Times New Roman"/>
                <w:sz w:val="28"/>
                <w:szCs w:val="28"/>
              </w:rPr>
            </w:pPr>
            <w:r w:rsidRPr="00C643B7">
              <w:rPr>
                <w:rFonts w:ascii="Times New Roman" w:hAnsi="Times New Roman"/>
                <w:sz w:val="28"/>
                <w:szCs w:val="28"/>
              </w:rPr>
              <w:t>16</w:t>
            </w:r>
          </w:p>
        </w:tc>
        <w:tc>
          <w:tcPr>
            <w:tcW w:w="704" w:type="dxa"/>
          </w:tcPr>
          <w:p w:rsidR="008543F3" w:rsidRPr="00C643B7" w:rsidRDefault="008543F3" w:rsidP="004646FD">
            <w:pPr>
              <w:spacing w:line="240" w:lineRule="auto"/>
              <w:rPr>
                <w:rFonts w:ascii="Times New Roman" w:hAnsi="Times New Roman"/>
                <w:sz w:val="28"/>
                <w:szCs w:val="28"/>
              </w:rPr>
            </w:pPr>
            <w:r w:rsidRPr="00C643B7">
              <w:rPr>
                <w:rFonts w:ascii="Times New Roman" w:hAnsi="Times New Roman"/>
                <w:sz w:val="28"/>
                <w:szCs w:val="28"/>
              </w:rPr>
              <w:t>3.4</w:t>
            </w:r>
          </w:p>
        </w:tc>
        <w:tc>
          <w:tcPr>
            <w:tcW w:w="2982"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hAnsi="Times New Roman"/>
                <w:sz w:val="28"/>
                <w:szCs w:val="28"/>
              </w:rPr>
              <w:t>Частка прийнятних активів у структурі балансу страховика</w:t>
            </w:r>
          </w:p>
          <w:p w:rsidR="008543F3" w:rsidRPr="00C643B7" w:rsidRDefault="008543F3" w:rsidP="004646FD">
            <w:pPr>
              <w:spacing w:line="240" w:lineRule="auto"/>
              <w:jc w:val="both"/>
              <w:rPr>
                <w:rFonts w:ascii="Times New Roman" w:hAnsi="Times New Roman"/>
                <w:sz w:val="28"/>
                <w:szCs w:val="28"/>
              </w:rPr>
            </w:pPr>
          </w:p>
          <w:p w:rsidR="008543F3" w:rsidRPr="00C643B7" w:rsidRDefault="008543F3" w:rsidP="004646FD">
            <w:pPr>
              <w:spacing w:line="240" w:lineRule="auto"/>
              <w:jc w:val="both"/>
              <w:rPr>
                <w:rFonts w:ascii="Times New Roman" w:hAnsi="Times New Roman"/>
                <w:sz w:val="28"/>
                <w:szCs w:val="28"/>
              </w:rPr>
            </w:pPr>
          </w:p>
        </w:tc>
        <w:tc>
          <w:tcPr>
            <w:tcW w:w="3827"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t xml:space="preserve">Співвідношення обсягу прийнятних активів, що відповідають вимогам, встановленим розділом ІІ Положення № 850, до загального обсягу активів страховика становить </w:t>
            </w:r>
            <w:r w:rsidR="001A54E7" w:rsidRPr="00C643B7">
              <w:rPr>
                <w:sz w:val="28"/>
                <w:szCs w:val="28"/>
                <w:lang w:val="uk-UA"/>
              </w:rPr>
              <w:t xml:space="preserve">більше ніж </w:t>
            </w:r>
            <w:r w:rsidRPr="00C643B7">
              <w:rPr>
                <w:sz w:val="28"/>
                <w:szCs w:val="28"/>
                <w:lang w:val="uk-UA"/>
              </w:rPr>
              <w:t xml:space="preserve">75% </w:t>
            </w:r>
          </w:p>
          <w:p w:rsidR="008543F3" w:rsidRPr="00C643B7" w:rsidRDefault="008543F3" w:rsidP="004646FD">
            <w:pPr>
              <w:pStyle w:val="rvps14"/>
              <w:spacing w:before="0" w:beforeAutospacing="0" w:after="0" w:afterAutospacing="0"/>
              <w:jc w:val="both"/>
              <w:rPr>
                <w:sz w:val="28"/>
                <w:szCs w:val="28"/>
                <w:lang w:val="uk-UA"/>
              </w:rPr>
            </w:pPr>
          </w:p>
          <w:p w:rsidR="008543F3" w:rsidRPr="00C643B7" w:rsidRDefault="008543F3" w:rsidP="004646FD">
            <w:pPr>
              <w:pStyle w:val="rvps14"/>
              <w:spacing w:before="0" w:beforeAutospacing="0" w:after="0" w:afterAutospacing="0"/>
              <w:jc w:val="both"/>
              <w:rPr>
                <w:strike/>
                <w:sz w:val="28"/>
                <w:szCs w:val="28"/>
                <w:lang w:val="uk-UA"/>
              </w:rPr>
            </w:pPr>
          </w:p>
        </w:tc>
        <w:tc>
          <w:tcPr>
            <w:tcW w:w="3402"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t xml:space="preserve">Співвідношення обсягу прийнятних активів, що відповідають вимогам, встановленим розділом ІІ Положення № 850, до загального обсягу активів страховика становить </w:t>
            </w:r>
            <w:r w:rsidR="001A54E7" w:rsidRPr="00C643B7">
              <w:rPr>
                <w:sz w:val="28"/>
                <w:szCs w:val="28"/>
                <w:lang w:val="uk-UA"/>
              </w:rPr>
              <w:t xml:space="preserve">більше </w:t>
            </w:r>
            <w:r w:rsidRPr="00C643B7">
              <w:rPr>
                <w:sz w:val="28"/>
                <w:szCs w:val="28"/>
                <w:lang w:val="uk-UA"/>
              </w:rPr>
              <w:t>50% до 75%</w:t>
            </w:r>
            <w:r w:rsidR="000464DF" w:rsidRPr="00C643B7">
              <w:rPr>
                <w:sz w:val="28"/>
                <w:szCs w:val="28"/>
                <w:lang w:val="uk-UA"/>
              </w:rPr>
              <w:t xml:space="preserve"> включно</w:t>
            </w:r>
            <w:r w:rsidRPr="00C643B7">
              <w:rPr>
                <w:sz w:val="28"/>
                <w:szCs w:val="28"/>
                <w:lang w:val="uk-UA"/>
              </w:rPr>
              <w:t>.</w:t>
            </w:r>
          </w:p>
          <w:p w:rsidR="008543F3" w:rsidRPr="00C643B7" w:rsidRDefault="008543F3" w:rsidP="004646FD">
            <w:pPr>
              <w:spacing w:line="240" w:lineRule="auto"/>
              <w:jc w:val="both"/>
              <w:rPr>
                <w:rFonts w:ascii="Times New Roman" w:hAnsi="Times New Roman"/>
                <w:sz w:val="28"/>
                <w:szCs w:val="28"/>
              </w:rPr>
            </w:pPr>
          </w:p>
        </w:tc>
        <w:tc>
          <w:tcPr>
            <w:tcW w:w="3260" w:type="dxa"/>
          </w:tcPr>
          <w:p w:rsidR="008543F3" w:rsidRPr="00C643B7" w:rsidRDefault="008543F3" w:rsidP="004646FD">
            <w:pPr>
              <w:spacing w:line="240" w:lineRule="auto"/>
              <w:jc w:val="both"/>
              <w:rPr>
                <w:rFonts w:ascii="Times New Roman" w:hAnsi="Times New Roman"/>
                <w:sz w:val="28"/>
                <w:szCs w:val="28"/>
              </w:rPr>
            </w:pPr>
            <w:r w:rsidRPr="00C643B7">
              <w:rPr>
                <w:rFonts w:ascii="Times New Roman" w:eastAsia="Times New Roman" w:hAnsi="Times New Roman"/>
                <w:sz w:val="28"/>
                <w:szCs w:val="28"/>
                <w:lang w:eastAsia="ru-RU"/>
              </w:rPr>
              <w:t xml:space="preserve">Співвідношення обсягу прийнятних активів, що відповідають вимогам, встановленим розділом ІІ Положення № 850, до загального обсягу активів страховика становить </w:t>
            </w:r>
            <w:r w:rsidR="001A54E7" w:rsidRPr="00C643B7">
              <w:rPr>
                <w:rFonts w:ascii="Times New Roman" w:eastAsia="Times New Roman" w:hAnsi="Times New Roman"/>
                <w:sz w:val="28"/>
                <w:szCs w:val="28"/>
                <w:lang w:eastAsia="ru-RU"/>
              </w:rPr>
              <w:t xml:space="preserve">більше </w:t>
            </w:r>
            <w:r w:rsidRPr="00C643B7">
              <w:rPr>
                <w:rFonts w:ascii="Times New Roman" w:eastAsia="Times New Roman" w:hAnsi="Times New Roman"/>
                <w:sz w:val="28"/>
                <w:szCs w:val="28"/>
                <w:lang w:eastAsia="ru-RU"/>
              </w:rPr>
              <w:t>25% до 50%</w:t>
            </w:r>
            <w:r w:rsidR="000464DF" w:rsidRPr="00C643B7">
              <w:rPr>
                <w:rFonts w:ascii="Times New Roman" w:eastAsia="Times New Roman" w:hAnsi="Times New Roman"/>
                <w:sz w:val="28"/>
                <w:szCs w:val="28"/>
                <w:lang w:eastAsia="ru-RU"/>
              </w:rPr>
              <w:t xml:space="preserve"> включно</w:t>
            </w:r>
            <w:r w:rsidRPr="00C643B7">
              <w:rPr>
                <w:rFonts w:ascii="Times New Roman" w:eastAsia="Times New Roman" w:hAnsi="Times New Roman"/>
                <w:sz w:val="28"/>
                <w:szCs w:val="28"/>
                <w:lang w:eastAsia="ru-RU"/>
              </w:rPr>
              <w:t>.</w:t>
            </w:r>
          </w:p>
        </w:tc>
        <w:tc>
          <w:tcPr>
            <w:tcW w:w="3260" w:type="dxa"/>
          </w:tcPr>
          <w:p w:rsidR="008543F3" w:rsidRPr="00C643B7" w:rsidRDefault="008543F3" w:rsidP="004646FD">
            <w:pPr>
              <w:pStyle w:val="rvps14"/>
              <w:spacing w:before="0" w:beforeAutospacing="0" w:after="0" w:afterAutospacing="0"/>
              <w:jc w:val="both"/>
              <w:rPr>
                <w:sz w:val="28"/>
                <w:szCs w:val="28"/>
                <w:lang w:val="uk-UA"/>
              </w:rPr>
            </w:pPr>
            <w:r w:rsidRPr="00C643B7">
              <w:rPr>
                <w:sz w:val="28"/>
                <w:szCs w:val="28"/>
                <w:lang w:val="uk-UA"/>
              </w:rPr>
              <w:t>Співвідношення обсягу прийнятних активів, що відповідають вимогам, встановленим розділом ІІ Положення № 850, до загального обсягу активів страховика становить до 25%</w:t>
            </w:r>
            <w:r w:rsidR="000464DF" w:rsidRPr="00C643B7">
              <w:rPr>
                <w:sz w:val="28"/>
                <w:szCs w:val="28"/>
                <w:lang w:val="uk-UA"/>
              </w:rPr>
              <w:t xml:space="preserve"> включно</w:t>
            </w:r>
            <w:r w:rsidRPr="00C643B7">
              <w:rPr>
                <w:sz w:val="28"/>
                <w:szCs w:val="28"/>
                <w:lang w:val="uk-UA"/>
              </w:rPr>
              <w:t>.</w:t>
            </w:r>
          </w:p>
          <w:p w:rsidR="008543F3" w:rsidRPr="00C643B7" w:rsidRDefault="008543F3" w:rsidP="004646FD">
            <w:pPr>
              <w:pStyle w:val="rvps14"/>
              <w:spacing w:before="0" w:beforeAutospacing="0" w:after="0" w:afterAutospacing="0"/>
              <w:jc w:val="both"/>
              <w:rPr>
                <w:sz w:val="28"/>
                <w:szCs w:val="28"/>
                <w:lang w:val="uk-UA"/>
              </w:rPr>
            </w:pPr>
          </w:p>
        </w:tc>
        <w:tc>
          <w:tcPr>
            <w:tcW w:w="1418" w:type="dxa"/>
          </w:tcPr>
          <w:p w:rsidR="008543F3" w:rsidRPr="00C643B7" w:rsidRDefault="008543F3" w:rsidP="004646FD">
            <w:pPr>
              <w:spacing w:line="240" w:lineRule="auto"/>
              <w:jc w:val="center"/>
              <w:rPr>
                <w:rFonts w:ascii="Times New Roman" w:hAnsi="Times New Roman"/>
                <w:bCs/>
                <w:sz w:val="28"/>
                <w:szCs w:val="28"/>
              </w:rPr>
            </w:pPr>
            <w:r w:rsidRPr="00C643B7">
              <w:rPr>
                <w:rFonts w:ascii="Times New Roman" w:hAnsi="Times New Roman"/>
                <w:bCs/>
                <w:sz w:val="28"/>
                <w:szCs w:val="28"/>
              </w:rPr>
              <w:t>15</w:t>
            </w:r>
          </w:p>
        </w:tc>
      </w:tr>
    </w:tbl>
    <w:p w:rsidR="004E30C6" w:rsidRPr="00C643B7" w:rsidRDefault="004E30C6" w:rsidP="004646FD">
      <w:pPr>
        <w:spacing w:line="240" w:lineRule="auto"/>
        <w:jc w:val="center"/>
        <w:rPr>
          <w:rFonts w:ascii="Times New Roman" w:hAnsi="Times New Roman"/>
          <w:sz w:val="28"/>
          <w:szCs w:val="28"/>
        </w:rPr>
      </w:pPr>
      <w:r w:rsidRPr="00C643B7">
        <w:rPr>
          <w:rFonts w:ascii="Times New Roman" w:hAnsi="Times New Roman"/>
          <w:sz w:val="28"/>
          <w:szCs w:val="28"/>
        </w:rPr>
        <w:t xml:space="preserve">Пояснення до критеріїв </w:t>
      </w:r>
      <w:r w:rsidRPr="00C643B7">
        <w:rPr>
          <w:rFonts w:ascii="Times New Roman" w:hAnsi="Times New Roman"/>
          <w:bCs/>
          <w:color w:val="000000"/>
          <w:sz w:val="28"/>
          <w:szCs w:val="28"/>
          <w:shd w:val="clear" w:color="auto" w:fill="FFFFFF"/>
        </w:rPr>
        <w:t>оцінки ступеню ризику страховика</w:t>
      </w:r>
    </w:p>
    <w:p w:rsidR="004E30C6" w:rsidRPr="00C643B7" w:rsidRDefault="004E30C6" w:rsidP="004646FD">
      <w:pPr>
        <w:pStyle w:val="a6"/>
        <w:numPr>
          <w:ilvl w:val="0"/>
          <w:numId w:val="15"/>
        </w:numPr>
        <w:spacing w:line="240" w:lineRule="auto"/>
        <w:ind w:left="0" w:firstLine="567"/>
        <w:rPr>
          <w:rFonts w:ascii="Times New Roman" w:hAnsi="Times New Roman"/>
          <w:sz w:val="28"/>
          <w:szCs w:val="28"/>
          <w:lang w:val="uk-UA"/>
        </w:rPr>
      </w:pPr>
      <w:r w:rsidRPr="00C643B7">
        <w:rPr>
          <w:rFonts w:ascii="Times New Roman" w:hAnsi="Times New Roman"/>
          <w:sz w:val="28"/>
          <w:szCs w:val="28"/>
          <w:lang w:val="uk-UA"/>
        </w:rPr>
        <w:lastRenderedPageBreak/>
        <w:t>Чисті страхові премії розраховані як валові страхові премії за мінусом частки страхових премій належних перестраховикам-резидентам.</w:t>
      </w:r>
    </w:p>
    <w:p w:rsidR="004E30C6" w:rsidRPr="00C643B7" w:rsidRDefault="004E30C6" w:rsidP="004646FD">
      <w:pPr>
        <w:spacing w:after="0" w:line="240" w:lineRule="auto"/>
        <w:rPr>
          <w:rFonts w:ascii="Times New Roman" w:hAnsi="Times New Roman"/>
          <w:sz w:val="28"/>
          <w:szCs w:val="28"/>
        </w:rPr>
      </w:pPr>
    </w:p>
    <w:p w:rsidR="00A644A9" w:rsidRPr="00C643B7" w:rsidRDefault="0034533B" w:rsidP="004646FD">
      <w:pPr>
        <w:spacing w:after="0" w:line="240" w:lineRule="auto"/>
        <w:rPr>
          <w:rFonts w:ascii="Times New Roman" w:hAnsi="Times New Roman"/>
          <w:sz w:val="28"/>
          <w:szCs w:val="28"/>
        </w:rPr>
        <w:sectPr w:rsidR="00A644A9" w:rsidRPr="00C643B7" w:rsidSect="00A644A9">
          <w:headerReference w:type="default" r:id="rId13"/>
          <w:pgSz w:w="21633" w:h="11906" w:orient="landscape"/>
          <w:pgMar w:top="1701" w:right="2071" w:bottom="850" w:left="1134" w:header="708" w:footer="708" w:gutter="0"/>
          <w:pgNumType w:start="1"/>
          <w:cols w:space="708"/>
          <w:titlePg/>
          <w:docGrid w:linePitch="360"/>
        </w:sectPr>
      </w:pPr>
      <w:r w:rsidRPr="00C643B7">
        <w:rPr>
          <w:rFonts w:ascii="Times New Roman" w:hAnsi="Times New Roman"/>
          <w:sz w:val="28"/>
          <w:szCs w:val="28"/>
        </w:rPr>
        <w:br w:type="page"/>
      </w:r>
    </w:p>
    <w:p w:rsidR="009E6AA5" w:rsidRPr="00C643B7" w:rsidRDefault="009E6AA5" w:rsidP="004646FD">
      <w:pPr>
        <w:pStyle w:val="a6"/>
        <w:spacing w:after="0" w:line="240" w:lineRule="auto"/>
        <w:ind w:left="10490"/>
        <w:jc w:val="both"/>
        <w:rPr>
          <w:rFonts w:ascii="Times New Roman" w:hAnsi="Times New Roman"/>
          <w:sz w:val="28"/>
          <w:szCs w:val="28"/>
          <w:lang w:val="uk-UA"/>
        </w:rPr>
      </w:pPr>
      <w:r w:rsidRPr="00C643B7">
        <w:rPr>
          <w:rFonts w:ascii="Times New Roman" w:hAnsi="Times New Roman"/>
          <w:sz w:val="28"/>
          <w:szCs w:val="28"/>
          <w:lang w:val="uk-UA"/>
        </w:rPr>
        <w:lastRenderedPageBreak/>
        <w:t>Додаток 2</w:t>
      </w:r>
    </w:p>
    <w:p w:rsidR="004A7C7C" w:rsidRPr="00C643B7" w:rsidRDefault="004A7C7C" w:rsidP="004646FD">
      <w:pPr>
        <w:keepNext/>
        <w:spacing w:after="0" w:line="240" w:lineRule="auto"/>
        <w:ind w:left="10490"/>
        <w:jc w:val="both"/>
        <w:outlineLvl w:val="2"/>
        <w:rPr>
          <w:rFonts w:ascii="Times New Roman" w:eastAsia="Times New Roman" w:hAnsi="Times New Roman"/>
          <w:b/>
          <w:bCs/>
          <w:color w:val="000000"/>
          <w:sz w:val="28"/>
          <w:szCs w:val="28"/>
          <w:lang w:eastAsia="uk-UA"/>
        </w:rPr>
      </w:pPr>
      <w:r w:rsidRPr="00C643B7">
        <w:rPr>
          <w:rFonts w:ascii="Times New Roman" w:hAnsi="Times New Roman"/>
          <w:sz w:val="28"/>
          <w:szCs w:val="28"/>
        </w:rPr>
        <w:t xml:space="preserve">до </w:t>
      </w:r>
      <w:r w:rsidRPr="00C643B7">
        <w:rPr>
          <w:rFonts w:ascii="Times New Roman" w:eastAsia="Times New Roman" w:hAnsi="Times New Roman"/>
          <w:bCs/>
          <w:color w:val="000000"/>
          <w:sz w:val="28"/>
          <w:szCs w:val="28"/>
          <w:lang w:eastAsia="uk-UA"/>
        </w:rPr>
        <w:t>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p>
    <w:p w:rsidR="009E6AA5" w:rsidRPr="00C643B7" w:rsidRDefault="009E6AA5" w:rsidP="004646FD">
      <w:pPr>
        <w:pStyle w:val="a6"/>
        <w:spacing w:after="0" w:line="240" w:lineRule="auto"/>
        <w:ind w:left="10490"/>
        <w:jc w:val="both"/>
        <w:rPr>
          <w:rFonts w:ascii="Times New Roman" w:hAnsi="Times New Roman"/>
          <w:b/>
          <w:bCs/>
          <w:color w:val="000000"/>
          <w:sz w:val="28"/>
          <w:szCs w:val="28"/>
          <w:shd w:val="clear" w:color="auto" w:fill="FFFFFF"/>
          <w:lang w:val="uk-UA"/>
        </w:rPr>
      </w:pPr>
      <w:r w:rsidRPr="00C643B7">
        <w:rPr>
          <w:rFonts w:ascii="Times New Roman" w:hAnsi="Times New Roman"/>
          <w:sz w:val="28"/>
          <w:szCs w:val="28"/>
          <w:lang w:val="uk-UA"/>
        </w:rPr>
        <w:t xml:space="preserve">(пункт </w:t>
      </w:r>
      <w:r w:rsidR="00E26C2F" w:rsidRPr="00C643B7">
        <w:rPr>
          <w:rFonts w:ascii="Times New Roman" w:hAnsi="Times New Roman"/>
          <w:sz w:val="28"/>
          <w:szCs w:val="28"/>
          <w:lang w:val="uk-UA"/>
        </w:rPr>
        <w:t>9</w:t>
      </w:r>
      <w:r w:rsidRPr="00C643B7">
        <w:rPr>
          <w:rFonts w:ascii="Times New Roman" w:hAnsi="Times New Roman"/>
          <w:sz w:val="28"/>
          <w:szCs w:val="28"/>
          <w:lang w:val="uk-UA"/>
        </w:rPr>
        <w:t xml:space="preserve"> розділу II)</w:t>
      </w:r>
    </w:p>
    <w:p w:rsidR="009E6AA5" w:rsidRPr="00C643B7" w:rsidRDefault="009E6AA5" w:rsidP="004646FD">
      <w:pPr>
        <w:spacing w:line="240" w:lineRule="auto"/>
        <w:rPr>
          <w:rFonts w:ascii="Times New Roman" w:hAnsi="Times New Roman"/>
          <w:sz w:val="28"/>
          <w:szCs w:val="28"/>
        </w:rPr>
      </w:pPr>
    </w:p>
    <w:p w:rsidR="009E6AA5" w:rsidRPr="00C643B7" w:rsidRDefault="009E6AA5" w:rsidP="004646FD">
      <w:pPr>
        <w:spacing w:line="240" w:lineRule="auto"/>
        <w:jc w:val="center"/>
        <w:rPr>
          <w:rFonts w:ascii="Times New Roman" w:hAnsi="Times New Roman"/>
          <w:bCs/>
          <w:color w:val="000000"/>
          <w:sz w:val="28"/>
          <w:szCs w:val="28"/>
          <w:shd w:val="clear" w:color="auto" w:fill="FFFFFF"/>
        </w:rPr>
      </w:pPr>
      <w:r w:rsidRPr="00C643B7">
        <w:rPr>
          <w:rFonts w:ascii="Times New Roman" w:hAnsi="Times New Roman"/>
          <w:bCs/>
          <w:color w:val="000000"/>
          <w:sz w:val="28"/>
          <w:szCs w:val="28"/>
          <w:shd w:val="clear" w:color="auto" w:fill="FFFFFF"/>
        </w:rPr>
        <w:t>Критерії оцінки ступеню ризику кредитної спілки</w:t>
      </w:r>
    </w:p>
    <w:tbl>
      <w:tblPr>
        <w:tblW w:w="2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704"/>
        <w:gridCol w:w="704"/>
        <w:gridCol w:w="2268"/>
        <w:gridCol w:w="3090"/>
        <w:gridCol w:w="3544"/>
        <w:gridCol w:w="3544"/>
        <w:gridCol w:w="4535"/>
        <w:gridCol w:w="1701"/>
      </w:tblGrid>
      <w:tr w:rsidR="00CD7215" w:rsidRPr="00C643B7" w:rsidTr="00983919">
        <w:tc>
          <w:tcPr>
            <w:tcW w:w="704" w:type="dxa"/>
          </w:tcPr>
          <w:p w:rsidR="00753711"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w:t>
            </w:r>
          </w:p>
          <w:p w:rsidR="00CD7215" w:rsidRPr="00C643B7" w:rsidRDefault="00753711" w:rsidP="004646FD">
            <w:pPr>
              <w:spacing w:line="240" w:lineRule="auto"/>
              <w:rPr>
                <w:rFonts w:ascii="Times New Roman" w:hAnsi="Times New Roman"/>
                <w:sz w:val="28"/>
                <w:szCs w:val="28"/>
              </w:rPr>
            </w:pPr>
            <w:r w:rsidRPr="00C643B7">
              <w:rPr>
                <w:rFonts w:ascii="Times New Roman" w:hAnsi="Times New Roman"/>
                <w:sz w:val="28"/>
                <w:szCs w:val="28"/>
              </w:rPr>
              <w:t>з/п</w:t>
            </w:r>
          </w:p>
        </w:tc>
        <w:tc>
          <w:tcPr>
            <w:tcW w:w="704" w:type="dxa"/>
          </w:tcPr>
          <w:p w:rsidR="00753711" w:rsidRPr="00C643B7" w:rsidRDefault="00753711" w:rsidP="004646FD">
            <w:pPr>
              <w:spacing w:line="240" w:lineRule="auto"/>
              <w:rPr>
                <w:rFonts w:ascii="Times New Roman" w:hAnsi="Times New Roman"/>
                <w:sz w:val="28"/>
                <w:szCs w:val="28"/>
              </w:rPr>
            </w:pPr>
            <w:r w:rsidRPr="00C643B7">
              <w:rPr>
                <w:rFonts w:ascii="Times New Roman" w:hAnsi="Times New Roman"/>
                <w:sz w:val="28"/>
                <w:szCs w:val="28"/>
              </w:rPr>
              <w:t>№</w:t>
            </w:r>
          </w:p>
          <w:p w:rsidR="00CD7215" w:rsidRPr="00C643B7" w:rsidRDefault="00753711" w:rsidP="004646FD">
            <w:pPr>
              <w:spacing w:line="240" w:lineRule="auto"/>
              <w:rPr>
                <w:rFonts w:ascii="Times New Roman" w:hAnsi="Times New Roman"/>
                <w:sz w:val="28"/>
                <w:szCs w:val="28"/>
              </w:rPr>
            </w:pPr>
            <w:r w:rsidRPr="00C643B7">
              <w:rPr>
                <w:rFonts w:ascii="Times New Roman" w:hAnsi="Times New Roman"/>
                <w:sz w:val="28"/>
                <w:szCs w:val="28"/>
              </w:rPr>
              <w:t>Критеріїв/показників</w:t>
            </w:r>
          </w:p>
        </w:tc>
        <w:tc>
          <w:tcPr>
            <w:tcW w:w="2268" w:type="dxa"/>
          </w:tcPr>
          <w:p w:rsidR="00811C08" w:rsidRPr="00C643B7" w:rsidRDefault="00811C08" w:rsidP="004646FD">
            <w:pPr>
              <w:spacing w:line="240" w:lineRule="auto"/>
              <w:rPr>
                <w:rFonts w:ascii="Times New Roman" w:hAnsi="Times New Roman"/>
                <w:sz w:val="28"/>
                <w:szCs w:val="28"/>
              </w:rPr>
            </w:pPr>
          </w:p>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Назви критеріїв та їх показників</w:t>
            </w:r>
          </w:p>
        </w:tc>
        <w:tc>
          <w:tcPr>
            <w:tcW w:w="3090" w:type="dxa"/>
          </w:tcPr>
          <w:p w:rsidR="00811C08" w:rsidRPr="00C643B7" w:rsidRDefault="00811C08" w:rsidP="004646FD">
            <w:pPr>
              <w:spacing w:line="240" w:lineRule="auto"/>
              <w:jc w:val="center"/>
              <w:rPr>
                <w:rFonts w:ascii="Times New Roman" w:hAnsi="Times New Roman"/>
                <w:bCs/>
                <w:sz w:val="28"/>
                <w:szCs w:val="28"/>
              </w:rPr>
            </w:pPr>
          </w:p>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“1” </w:t>
            </w:r>
          </w:p>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(низький ступінь ризику)</w:t>
            </w:r>
          </w:p>
        </w:tc>
        <w:tc>
          <w:tcPr>
            <w:tcW w:w="3544" w:type="dxa"/>
          </w:tcPr>
          <w:p w:rsidR="00811C08" w:rsidRPr="00C643B7" w:rsidRDefault="00811C08" w:rsidP="004646FD">
            <w:pPr>
              <w:spacing w:line="240" w:lineRule="auto"/>
              <w:jc w:val="center"/>
              <w:rPr>
                <w:rFonts w:ascii="Times New Roman" w:hAnsi="Times New Roman"/>
                <w:bCs/>
                <w:sz w:val="28"/>
                <w:szCs w:val="28"/>
              </w:rPr>
            </w:pPr>
          </w:p>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“2”</w:t>
            </w:r>
          </w:p>
          <w:p w:rsidR="00CD7215" w:rsidRPr="00C643B7" w:rsidRDefault="00CD7215" w:rsidP="004646FD">
            <w:pPr>
              <w:spacing w:line="240" w:lineRule="auto"/>
              <w:rPr>
                <w:rFonts w:ascii="Times New Roman" w:hAnsi="Times New Roman"/>
                <w:bCs/>
                <w:sz w:val="28"/>
                <w:szCs w:val="28"/>
              </w:rPr>
            </w:pPr>
            <w:r w:rsidRPr="00C643B7">
              <w:rPr>
                <w:rFonts w:ascii="Times New Roman" w:hAnsi="Times New Roman"/>
                <w:bCs/>
                <w:sz w:val="28"/>
                <w:szCs w:val="28"/>
              </w:rPr>
              <w:t>(середній ступінь ризику)</w:t>
            </w:r>
          </w:p>
        </w:tc>
        <w:tc>
          <w:tcPr>
            <w:tcW w:w="3544" w:type="dxa"/>
          </w:tcPr>
          <w:p w:rsidR="00811C08" w:rsidRPr="00C643B7" w:rsidRDefault="00811C08" w:rsidP="004646FD">
            <w:pPr>
              <w:spacing w:line="240" w:lineRule="auto"/>
              <w:jc w:val="center"/>
              <w:rPr>
                <w:rFonts w:ascii="Times New Roman" w:hAnsi="Times New Roman"/>
                <w:bCs/>
                <w:sz w:val="28"/>
                <w:szCs w:val="28"/>
              </w:rPr>
            </w:pPr>
          </w:p>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“3” </w:t>
            </w:r>
          </w:p>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(високий ступінь ризику)</w:t>
            </w:r>
          </w:p>
        </w:tc>
        <w:tc>
          <w:tcPr>
            <w:tcW w:w="4535" w:type="dxa"/>
          </w:tcPr>
          <w:p w:rsidR="00811C08" w:rsidRPr="00C643B7" w:rsidRDefault="00811C08" w:rsidP="004646FD">
            <w:pPr>
              <w:spacing w:line="240" w:lineRule="auto"/>
              <w:jc w:val="center"/>
              <w:rPr>
                <w:rFonts w:ascii="Times New Roman" w:hAnsi="Times New Roman"/>
                <w:bCs/>
                <w:sz w:val="28"/>
                <w:szCs w:val="28"/>
              </w:rPr>
            </w:pPr>
          </w:p>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“4” </w:t>
            </w:r>
          </w:p>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(критичний ступінь ризику)</w:t>
            </w:r>
          </w:p>
        </w:tc>
        <w:tc>
          <w:tcPr>
            <w:tcW w:w="1701" w:type="dxa"/>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Вага критерію в ступені ризику/ Вага показника в критерії, %</w:t>
            </w:r>
          </w:p>
        </w:tc>
      </w:tr>
    </w:tbl>
    <w:p w:rsidR="00983919" w:rsidRPr="00C643B7" w:rsidRDefault="00983919" w:rsidP="004646FD">
      <w:pPr>
        <w:spacing w:after="0" w:line="240" w:lineRule="auto"/>
        <w:rPr>
          <w:sz w:val="2"/>
        </w:rPr>
      </w:pPr>
    </w:p>
    <w:tbl>
      <w:tblPr>
        <w:tblW w:w="2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704"/>
        <w:gridCol w:w="704"/>
        <w:gridCol w:w="2268"/>
        <w:gridCol w:w="3090"/>
        <w:gridCol w:w="3544"/>
        <w:gridCol w:w="3544"/>
        <w:gridCol w:w="4535"/>
        <w:gridCol w:w="1701"/>
      </w:tblGrid>
      <w:tr w:rsidR="00CD7215" w:rsidRPr="00C643B7" w:rsidTr="00983919">
        <w:trPr>
          <w:tblHeader/>
        </w:trPr>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c>
          <w:tcPr>
            <w:tcW w:w="2268"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3090" w:type="dxa"/>
          </w:tcPr>
          <w:p w:rsidR="00CD7215" w:rsidRPr="00C643B7" w:rsidRDefault="00753711" w:rsidP="004646FD">
            <w:pPr>
              <w:spacing w:line="240" w:lineRule="auto"/>
              <w:jc w:val="center"/>
              <w:rPr>
                <w:rFonts w:ascii="Times New Roman" w:hAnsi="Times New Roman"/>
                <w:bCs/>
                <w:sz w:val="28"/>
                <w:szCs w:val="28"/>
              </w:rPr>
            </w:pPr>
            <w:r w:rsidRPr="00C643B7">
              <w:rPr>
                <w:rFonts w:ascii="Times New Roman" w:hAnsi="Times New Roman"/>
                <w:bCs/>
                <w:sz w:val="28"/>
                <w:szCs w:val="28"/>
              </w:rPr>
              <w:t>4</w:t>
            </w:r>
          </w:p>
        </w:tc>
        <w:tc>
          <w:tcPr>
            <w:tcW w:w="3544" w:type="dxa"/>
          </w:tcPr>
          <w:p w:rsidR="00CD7215" w:rsidRPr="00C643B7" w:rsidRDefault="00753711" w:rsidP="004646FD">
            <w:pPr>
              <w:spacing w:line="240" w:lineRule="auto"/>
              <w:jc w:val="center"/>
              <w:rPr>
                <w:rFonts w:ascii="Times New Roman" w:hAnsi="Times New Roman"/>
                <w:bCs/>
                <w:sz w:val="28"/>
                <w:szCs w:val="28"/>
              </w:rPr>
            </w:pPr>
            <w:r w:rsidRPr="00C643B7">
              <w:rPr>
                <w:rFonts w:ascii="Times New Roman" w:hAnsi="Times New Roman"/>
                <w:bCs/>
                <w:sz w:val="28"/>
                <w:szCs w:val="28"/>
              </w:rPr>
              <w:t>5</w:t>
            </w:r>
          </w:p>
        </w:tc>
        <w:tc>
          <w:tcPr>
            <w:tcW w:w="3544" w:type="dxa"/>
          </w:tcPr>
          <w:p w:rsidR="00CD7215" w:rsidRPr="00C643B7" w:rsidRDefault="00753711" w:rsidP="004646FD">
            <w:pPr>
              <w:spacing w:line="240" w:lineRule="auto"/>
              <w:jc w:val="center"/>
              <w:rPr>
                <w:rFonts w:ascii="Times New Roman" w:hAnsi="Times New Roman"/>
                <w:bCs/>
                <w:sz w:val="28"/>
                <w:szCs w:val="28"/>
              </w:rPr>
            </w:pPr>
            <w:r w:rsidRPr="00C643B7">
              <w:rPr>
                <w:rFonts w:ascii="Times New Roman" w:hAnsi="Times New Roman"/>
                <w:bCs/>
                <w:sz w:val="28"/>
                <w:szCs w:val="28"/>
              </w:rPr>
              <w:t>6</w:t>
            </w:r>
          </w:p>
        </w:tc>
        <w:tc>
          <w:tcPr>
            <w:tcW w:w="4535" w:type="dxa"/>
          </w:tcPr>
          <w:p w:rsidR="00CD7215" w:rsidRPr="00C643B7" w:rsidRDefault="00753711" w:rsidP="004646FD">
            <w:pPr>
              <w:spacing w:line="240" w:lineRule="auto"/>
              <w:jc w:val="center"/>
              <w:rPr>
                <w:rFonts w:ascii="Times New Roman" w:hAnsi="Times New Roman"/>
                <w:bCs/>
                <w:sz w:val="28"/>
                <w:szCs w:val="28"/>
              </w:rPr>
            </w:pPr>
            <w:r w:rsidRPr="00C643B7">
              <w:rPr>
                <w:rFonts w:ascii="Times New Roman" w:hAnsi="Times New Roman"/>
                <w:bCs/>
                <w:sz w:val="28"/>
                <w:szCs w:val="28"/>
              </w:rPr>
              <w:t>7</w:t>
            </w:r>
          </w:p>
        </w:tc>
        <w:tc>
          <w:tcPr>
            <w:tcW w:w="1701" w:type="dxa"/>
          </w:tcPr>
          <w:p w:rsidR="00CD7215" w:rsidRPr="00C643B7" w:rsidRDefault="00753711" w:rsidP="004646FD">
            <w:pPr>
              <w:spacing w:line="240" w:lineRule="auto"/>
              <w:jc w:val="center"/>
              <w:rPr>
                <w:rFonts w:ascii="Times New Roman" w:hAnsi="Times New Roman"/>
                <w:bCs/>
                <w:sz w:val="28"/>
                <w:szCs w:val="28"/>
              </w:rPr>
            </w:pPr>
            <w:r w:rsidRPr="00C643B7">
              <w:rPr>
                <w:rFonts w:ascii="Times New Roman" w:hAnsi="Times New Roman"/>
                <w:bCs/>
                <w:sz w:val="28"/>
                <w:szCs w:val="28"/>
              </w:rPr>
              <w:t>8</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704" w:type="dxa"/>
          </w:tcPr>
          <w:p w:rsidR="00CD7215" w:rsidRPr="00C643B7" w:rsidRDefault="00CD7215"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16981" w:type="dxa"/>
            <w:gridSpan w:val="5"/>
            <w:shd w:val="clear" w:color="auto" w:fill="auto"/>
          </w:tcPr>
          <w:p w:rsidR="00CD7215" w:rsidRPr="00C643B7" w:rsidRDefault="00CD7215" w:rsidP="004646FD">
            <w:pPr>
              <w:spacing w:line="240" w:lineRule="auto"/>
              <w:rPr>
                <w:rFonts w:ascii="Times New Roman" w:hAnsi="Times New Roman"/>
                <w:bCs/>
                <w:sz w:val="28"/>
                <w:szCs w:val="28"/>
              </w:rPr>
            </w:pPr>
            <w:r w:rsidRPr="00C643B7">
              <w:rPr>
                <w:rFonts w:ascii="Times New Roman" w:hAnsi="Times New Roman"/>
                <w:sz w:val="28"/>
                <w:szCs w:val="28"/>
              </w:rPr>
              <w:t>Стан корпоративного управління, управління ризиками та внутрішнього контролю</w:t>
            </w:r>
          </w:p>
        </w:tc>
        <w:tc>
          <w:tcPr>
            <w:tcW w:w="1701" w:type="dxa"/>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10</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1.1</w:t>
            </w:r>
          </w:p>
        </w:tc>
        <w:tc>
          <w:tcPr>
            <w:tcW w:w="2268" w:type="dxa"/>
            <w:shd w:val="clear" w:color="auto" w:fill="auto"/>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Виконання заходів впливу</w:t>
            </w:r>
          </w:p>
        </w:tc>
        <w:tc>
          <w:tcPr>
            <w:tcW w:w="3090" w:type="dxa"/>
            <w:shd w:val="clear" w:color="auto" w:fill="auto"/>
          </w:tcPr>
          <w:p w:rsidR="00CD7215" w:rsidRPr="00C643B7" w:rsidRDefault="00CD7215"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Протягом періоду оцінки до кредитної спілки не застосовувалися заходи впливу.</w:t>
            </w:r>
          </w:p>
          <w:p w:rsidR="00CD7215" w:rsidRPr="00C643B7" w:rsidRDefault="00CD7215" w:rsidP="004646FD">
            <w:pPr>
              <w:spacing w:line="240" w:lineRule="auto"/>
              <w:rPr>
                <w:rFonts w:ascii="Times New Roman" w:eastAsia="Times New Roman" w:hAnsi="Times New Roman"/>
                <w:sz w:val="28"/>
                <w:szCs w:val="28"/>
                <w:shd w:val="clear" w:color="auto" w:fill="FFFFFF"/>
                <w:lang w:eastAsia="ru-RU"/>
              </w:rPr>
            </w:pPr>
          </w:p>
        </w:tc>
        <w:tc>
          <w:tcPr>
            <w:tcW w:w="3544" w:type="dxa"/>
            <w:shd w:val="clear" w:color="auto" w:fill="auto"/>
          </w:tcPr>
          <w:p w:rsidR="00CD7215" w:rsidRPr="00C643B7" w:rsidRDefault="00CD7215"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Протягом періоду оцінки до кредитної спілки було застосовано один захід впливу, який станом на дату проведення оцінки  був виконаний.</w:t>
            </w:r>
          </w:p>
          <w:p w:rsidR="00CD7215" w:rsidRPr="00C643B7" w:rsidRDefault="00CD7215" w:rsidP="004646FD">
            <w:pPr>
              <w:spacing w:line="240" w:lineRule="auto"/>
              <w:rPr>
                <w:rFonts w:ascii="Times New Roman" w:eastAsia="Times New Roman" w:hAnsi="Times New Roman"/>
                <w:sz w:val="28"/>
                <w:szCs w:val="28"/>
                <w:shd w:val="clear" w:color="auto" w:fill="FFFFFF"/>
                <w:lang w:eastAsia="ru-RU"/>
              </w:rPr>
            </w:pPr>
          </w:p>
        </w:tc>
        <w:tc>
          <w:tcPr>
            <w:tcW w:w="3544" w:type="dxa"/>
            <w:shd w:val="clear" w:color="auto" w:fill="auto"/>
          </w:tcPr>
          <w:p w:rsidR="00CD7215" w:rsidRPr="00C643B7" w:rsidRDefault="00CD7215" w:rsidP="004646FD">
            <w:pPr>
              <w:spacing w:line="240" w:lineRule="auto"/>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lastRenderedPageBreak/>
              <w:t>Протягом періоду оцінки до кредитної спілки було застосовано два і більше заходів впливу, які в подальшому станом на дату проведення оцінки були виконані.</w:t>
            </w:r>
          </w:p>
        </w:tc>
        <w:tc>
          <w:tcPr>
            <w:tcW w:w="4535" w:type="dxa"/>
            <w:shd w:val="clear" w:color="auto" w:fill="auto"/>
          </w:tcPr>
          <w:p w:rsidR="00CD7215" w:rsidRPr="00C643B7" w:rsidRDefault="00CD7215"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Протягом періоду оцінки до кредитної спілки було застосовано принаймні один (або більше) захід впливу, який станом на дату проведення оцінки не був виконаний у встановлений строк.</w:t>
            </w:r>
          </w:p>
          <w:p w:rsidR="00CD7215" w:rsidRPr="00C643B7" w:rsidRDefault="00CD7215" w:rsidP="004646FD">
            <w:pPr>
              <w:spacing w:line="240" w:lineRule="auto"/>
              <w:rPr>
                <w:rFonts w:ascii="Times New Roman" w:eastAsia="Times New Roman" w:hAnsi="Times New Roman"/>
                <w:sz w:val="28"/>
                <w:szCs w:val="28"/>
                <w:shd w:val="clear" w:color="auto" w:fill="FFFFFF"/>
                <w:lang w:eastAsia="ru-RU"/>
              </w:rPr>
            </w:pPr>
          </w:p>
        </w:tc>
        <w:tc>
          <w:tcPr>
            <w:tcW w:w="1701" w:type="dxa"/>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lastRenderedPageBreak/>
              <w:t>35</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1.2</w:t>
            </w:r>
          </w:p>
        </w:tc>
        <w:tc>
          <w:tcPr>
            <w:tcW w:w="2268"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Результати зовнішнього аудиту</w:t>
            </w:r>
          </w:p>
        </w:tc>
        <w:tc>
          <w:tcPr>
            <w:tcW w:w="3090"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Не модифікована думка</w:t>
            </w:r>
            <w:r w:rsidR="00811C08" w:rsidRPr="00C643B7">
              <w:rPr>
                <w:rFonts w:ascii="Times New Roman" w:hAnsi="Times New Roman"/>
                <w:sz w:val="28"/>
                <w:szCs w:val="28"/>
              </w:rPr>
              <w:t>.</w:t>
            </w:r>
          </w:p>
        </w:tc>
        <w:tc>
          <w:tcPr>
            <w:tcW w:w="3544"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Модифікована думка (із застереженням), але в цілому звітність не містить суттєвих викривлень</w:t>
            </w:r>
          </w:p>
        </w:tc>
        <w:tc>
          <w:tcPr>
            <w:tcW w:w="3544"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 xml:space="preserve">Модифікована думка (із застереженням). За результатами проведеного аудиту є сумніви щодо достовірності окремих показників звітності, оцінки вартості активів та зобов’язань або у аудитора є сумніви щодо безперервності діяльності </w:t>
            </w:r>
            <w:r w:rsidR="00811C08" w:rsidRPr="00C643B7">
              <w:rPr>
                <w:rFonts w:ascii="Times New Roman" w:hAnsi="Times New Roman"/>
                <w:sz w:val="28"/>
                <w:szCs w:val="28"/>
              </w:rPr>
              <w:t xml:space="preserve">кредитної спілки </w:t>
            </w:r>
            <w:r w:rsidRPr="00C643B7">
              <w:rPr>
                <w:rFonts w:ascii="Times New Roman" w:hAnsi="Times New Roman"/>
                <w:sz w:val="28"/>
                <w:szCs w:val="28"/>
              </w:rPr>
              <w:t>у майбутньому</w:t>
            </w:r>
          </w:p>
        </w:tc>
        <w:tc>
          <w:tcPr>
            <w:tcW w:w="4535"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Модифікована думка (негативна або відмова від висловлення думки) або аудиторський звіт за попередній рік не подано до Національного банку</w:t>
            </w:r>
          </w:p>
        </w:tc>
        <w:tc>
          <w:tcPr>
            <w:tcW w:w="1701" w:type="dxa"/>
          </w:tcPr>
          <w:p w:rsidR="00CD7215" w:rsidRPr="00C643B7" w:rsidRDefault="00CD7215"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25</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4</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1.3</w:t>
            </w:r>
          </w:p>
        </w:tc>
        <w:tc>
          <w:tcPr>
            <w:tcW w:w="2268" w:type="dxa"/>
          </w:tcPr>
          <w:p w:rsidR="00CD7215" w:rsidRPr="00C643B7" w:rsidRDefault="00CD7215" w:rsidP="004646FD">
            <w:pPr>
              <w:spacing w:line="240" w:lineRule="auto"/>
              <w:jc w:val="both"/>
              <w:rPr>
                <w:rFonts w:ascii="Times New Roman" w:hAnsi="Times New Roman"/>
                <w:color w:val="FF0000"/>
                <w:sz w:val="28"/>
                <w:szCs w:val="28"/>
              </w:rPr>
            </w:pPr>
            <w:r w:rsidRPr="00C643B7">
              <w:rPr>
                <w:rFonts w:ascii="Times New Roman" w:hAnsi="Times New Roman"/>
                <w:color w:val="000000"/>
                <w:sz w:val="28"/>
                <w:szCs w:val="28"/>
              </w:rPr>
              <w:t>Подання звітності та інших обов’язкових документів</w:t>
            </w:r>
          </w:p>
        </w:tc>
        <w:tc>
          <w:tcPr>
            <w:tcW w:w="3090" w:type="dxa"/>
          </w:tcPr>
          <w:p w:rsidR="00CD7215" w:rsidRPr="00C643B7" w:rsidRDefault="00CD7215"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фінансова звітність та/або інші звітні дані, передбачені до подання на періодичній основі, подавалися Національному банку вчасно та в повному обсязі.</w:t>
            </w:r>
          </w:p>
        </w:tc>
        <w:tc>
          <w:tcPr>
            <w:tcW w:w="3544"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зафіксовано один факт несвоєчасного подання Національному банку фінансової звітності та/або інших звітних даних, передбачених до подання на періодичній основі</w:t>
            </w:r>
            <w:r w:rsidR="00B56356" w:rsidRPr="00C643B7">
              <w:rPr>
                <w:rFonts w:ascii="Times New Roman" w:hAnsi="Times New Roman"/>
                <w:sz w:val="28"/>
                <w:szCs w:val="28"/>
              </w:rPr>
              <w:t>.</w:t>
            </w:r>
            <w:r w:rsidRPr="00C643B7">
              <w:rPr>
                <w:rFonts w:ascii="Times New Roman" w:hAnsi="Times New Roman"/>
                <w:sz w:val="28"/>
                <w:szCs w:val="28"/>
              </w:rPr>
              <w:t xml:space="preserve"> </w:t>
            </w:r>
          </w:p>
        </w:tc>
        <w:tc>
          <w:tcPr>
            <w:tcW w:w="3544" w:type="dxa"/>
          </w:tcPr>
          <w:p w:rsidR="00CD7215" w:rsidRPr="00C643B7" w:rsidRDefault="00CD7215"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зафіксовано два або більше фактів несвоєчасного подання Національному банку фінансової звітності та/або інших звітних даних, передбачених до подання на періодичній основі</w:t>
            </w:r>
            <w:r w:rsidR="008D6975" w:rsidRPr="00C643B7">
              <w:rPr>
                <w:rFonts w:ascii="Times New Roman" w:hAnsi="Times New Roman"/>
                <w:sz w:val="28"/>
                <w:szCs w:val="28"/>
              </w:rPr>
              <w:t>.</w:t>
            </w:r>
            <w:r w:rsidRPr="00C643B7">
              <w:rPr>
                <w:rFonts w:ascii="Times New Roman" w:hAnsi="Times New Roman"/>
                <w:sz w:val="28"/>
                <w:szCs w:val="28"/>
              </w:rPr>
              <w:t xml:space="preserve"> </w:t>
            </w:r>
          </w:p>
        </w:tc>
        <w:tc>
          <w:tcPr>
            <w:tcW w:w="4535" w:type="dxa"/>
          </w:tcPr>
          <w:p w:rsidR="00CD7215" w:rsidRPr="00C643B7" w:rsidRDefault="00CD7215"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зафіксовано принаймні один факт неподання Національному банку фінансової звітності та/або інших звітних даних, передбачених до подання на періодичній основі</w:t>
            </w:r>
            <w:r w:rsidR="008D6975" w:rsidRPr="00C643B7">
              <w:rPr>
                <w:rFonts w:ascii="Times New Roman" w:hAnsi="Times New Roman"/>
                <w:sz w:val="28"/>
                <w:szCs w:val="28"/>
              </w:rPr>
              <w:t>.</w:t>
            </w:r>
            <w:r w:rsidRPr="00C643B7">
              <w:rPr>
                <w:rFonts w:ascii="Times New Roman" w:hAnsi="Times New Roman"/>
                <w:sz w:val="28"/>
                <w:szCs w:val="28"/>
              </w:rPr>
              <w:t xml:space="preserve"> </w:t>
            </w:r>
          </w:p>
        </w:tc>
        <w:tc>
          <w:tcPr>
            <w:tcW w:w="1701" w:type="dxa"/>
          </w:tcPr>
          <w:p w:rsidR="00CD7215" w:rsidRPr="00C643B7" w:rsidRDefault="00CD7215" w:rsidP="004646FD">
            <w:pPr>
              <w:spacing w:line="240" w:lineRule="auto"/>
              <w:jc w:val="center"/>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10</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lastRenderedPageBreak/>
              <w:t>5</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1.4</w:t>
            </w:r>
          </w:p>
        </w:tc>
        <w:tc>
          <w:tcPr>
            <w:tcW w:w="2268" w:type="dxa"/>
            <w:shd w:val="clear" w:color="auto" w:fill="auto"/>
          </w:tcPr>
          <w:p w:rsidR="00CD7215" w:rsidRPr="00C643B7" w:rsidRDefault="00CD7215" w:rsidP="004646FD">
            <w:pPr>
              <w:spacing w:line="240" w:lineRule="auto"/>
              <w:jc w:val="both"/>
              <w:rPr>
                <w:rFonts w:ascii="Times New Roman" w:hAnsi="Times New Roman"/>
                <w:sz w:val="28"/>
                <w:szCs w:val="28"/>
              </w:rPr>
            </w:pPr>
            <w:r w:rsidRPr="00C643B7">
              <w:rPr>
                <w:rFonts w:ascii="Times New Roman" w:eastAsia="Times New Roman" w:hAnsi="Times New Roman"/>
                <w:color w:val="212121"/>
                <w:sz w:val="28"/>
                <w:szCs w:val="28"/>
                <w:lang w:eastAsia="uk-UA"/>
              </w:rPr>
              <w:t>Виконання вимог законодавства щодо захисту прав споживачів фінансових послуг </w:t>
            </w:r>
          </w:p>
        </w:tc>
        <w:tc>
          <w:tcPr>
            <w:tcW w:w="3090" w:type="dxa"/>
            <w:shd w:val="clear" w:color="auto" w:fill="auto"/>
          </w:tcPr>
          <w:p w:rsidR="00CD7215" w:rsidRPr="00C643B7" w:rsidRDefault="00CD7215"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bCs/>
                <w:sz w:val="28"/>
                <w:szCs w:val="28"/>
              </w:rPr>
              <w:t xml:space="preserve">Протягом періоду оцінки не виявлено порушень кредитною спілкою вимог законодавства </w:t>
            </w:r>
            <w:r w:rsidR="00A45D55" w:rsidRPr="00C643B7">
              <w:rPr>
                <w:rFonts w:ascii="Times New Roman" w:hAnsi="Times New Roman"/>
                <w:bCs/>
                <w:color w:val="000000" w:themeColor="text1"/>
                <w:sz w:val="28"/>
                <w:szCs w:val="28"/>
              </w:rPr>
              <w:t>[</w:t>
            </w:r>
            <w:r w:rsidRPr="00C643B7">
              <w:rPr>
                <w:rFonts w:ascii="Times New Roman" w:hAnsi="Times New Roman"/>
                <w:color w:val="000000" w:themeColor="text1"/>
                <w:sz w:val="28"/>
                <w:szCs w:val="28"/>
                <w:shd w:val="clear" w:color="auto" w:fill="FFFFFF"/>
              </w:rPr>
              <w:t xml:space="preserve">включаючи нормативно-правових актів Національного банку,  </w:t>
            </w:r>
            <w:r w:rsidR="00B56356" w:rsidRPr="00C643B7">
              <w:rPr>
                <w:rFonts w:ascii="Times New Roman" w:hAnsi="Times New Roman"/>
                <w:color w:val="000000" w:themeColor="text1"/>
                <w:sz w:val="28"/>
                <w:szCs w:val="28"/>
                <w:shd w:val="clear" w:color="auto" w:fill="FFFFFF"/>
              </w:rPr>
              <w:t>Національної комісії, що здійснює державне регулювання у сфері ринків фінансових послуг (далі -</w:t>
            </w:r>
            <w:r w:rsidR="009A3C24" w:rsidRPr="00C643B7">
              <w:rPr>
                <w:rFonts w:ascii="Times New Roman" w:hAnsi="Times New Roman"/>
                <w:color w:val="000000" w:themeColor="text1"/>
                <w:sz w:val="28"/>
                <w:szCs w:val="28"/>
                <w:shd w:val="clear" w:color="auto" w:fill="FFFFFF"/>
              </w:rPr>
              <w:t xml:space="preserve"> </w:t>
            </w:r>
            <w:r w:rsidRPr="00C643B7">
              <w:rPr>
                <w:rFonts w:ascii="Times New Roman" w:hAnsi="Times New Roman"/>
                <w:color w:val="000000" w:themeColor="text1"/>
                <w:sz w:val="28"/>
                <w:szCs w:val="28"/>
                <w:shd w:val="clear" w:color="auto" w:fill="FFFFFF"/>
              </w:rPr>
              <w:t>Нацкомфінпослуг</w:t>
            </w:r>
            <w:r w:rsidR="00B56356" w:rsidRPr="00C643B7">
              <w:rPr>
                <w:rFonts w:ascii="Times New Roman" w:hAnsi="Times New Roman"/>
                <w:color w:val="000000" w:themeColor="text1"/>
                <w:sz w:val="28"/>
                <w:szCs w:val="28"/>
                <w:shd w:val="clear" w:color="auto" w:fill="FFFFFF"/>
              </w:rPr>
              <w:t>)</w:t>
            </w:r>
            <w:r w:rsidR="00A45D55" w:rsidRPr="00C643B7">
              <w:rPr>
                <w:rFonts w:ascii="Times New Roman" w:hAnsi="Times New Roman"/>
                <w:color w:val="000000" w:themeColor="text1"/>
                <w:sz w:val="28"/>
                <w:szCs w:val="28"/>
                <w:shd w:val="clear" w:color="auto" w:fill="FFFFFF"/>
              </w:rPr>
              <w:t>]</w:t>
            </w:r>
            <w:r w:rsidRPr="00C643B7">
              <w:rPr>
                <w:rFonts w:ascii="Times New Roman" w:hAnsi="Times New Roman"/>
                <w:color w:val="000000" w:themeColor="text1"/>
                <w:sz w:val="28"/>
                <w:szCs w:val="28"/>
                <w:shd w:val="clear" w:color="auto" w:fill="FFFFFF"/>
              </w:rPr>
              <w:t xml:space="preserve"> </w:t>
            </w:r>
            <w:r w:rsidRPr="00C643B7">
              <w:rPr>
                <w:rFonts w:ascii="Times New Roman" w:hAnsi="Times New Roman"/>
                <w:sz w:val="28"/>
                <w:szCs w:val="28"/>
                <w:shd w:val="clear" w:color="auto" w:fill="FFFFFF"/>
              </w:rPr>
              <w:t>за результатами розгляду звернень споживачів фінансових послуг</w:t>
            </w:r>
          </w:p>
        </w:tc>
        <w:tc>
          <w:tcPr>
            <w:tcW w:w="3544" w:type="dxa"/>
            <w:shd w:val="clear" w:color="auto" w:fill="auto"/>
          </w:tcPr>
          <w:p w:rsidR="00CD7215" w:rsidRPr="00C643B7" w:rsidRDefault="00CD7215"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bCs/>
                <w:sz w:val="28"/>
                <w:szCs w:val="28"/>
              </w:rPr>
              <w:t xml:space="preserve">Протягом періоду оцінки </w:t>
            </w:r>
            <w:r w:rsidRPr="00C643B7">
              <w:rPr>
                <w:rFonts w:ascii="Times New Roman" w:hAnsi="Times New Roman"/>
                <w:sz w:val="28"/>
                <w:szCs w:val="28"/>
                <w:shd w:val="clear" w:color="auto" w:fill="FFFFFF"/>
              </w:rPr>
              <w:t xml:space="preserve">кількість виявлених порушень </w:t>
            </w:r>
            <w:r w:rsidRPr="00C643B7">
              <w:rPr>
                <w:rFonts w:ascii="Times New Roman" w:hAnsi="Times New Roman"/>
                <w:bCs/>
                <w:sz w:val="28"/>
                <w:szCs w:val="28"/>
              </w:rPr>
              <w:t>кредитною спілкою</w:t>
            </w:r>
            <w:r w:rsidRPr="00C643B7">
              <w:rPr>
                <w:rFonts w:ascii="Times New Roman" w:hAnsi="Times New Roman"/>
                <w:sz w:val="28"/>
                <w:szCs w:val="28"/>
                <w:shd w:val="clear" w:color="auto" w:fill="FFFFFF"/>
              </w:rPr>
              <w:t xml:space="preserve"> законодавства (включаючи нормативно-правових актів Національного банку, Нацкомфінпослуг) за результатами  розгляду звернень споживачів фінансових послуг менша за середню кількість виявлених  порушень на одну кредитну спілку, розраховану як співвідношення загальної кількості таких порушень усіма кредитними спілками за звітний період до загальної кількості кредитних спілок (далі – середня кількість порушень)</w:t>
            </w:r>
          </w:p>
        </w:tc>
        <w:tc>
          <w:tcPr>
            <w:tcW w:w="3544" w:type="dxa"/>
            <w:shd w:val="clear" w:color="auto" w:fill="auto"/>
          </w:tcPr>
          <w:p w:rsidR="00CD7215" w:rsidRPr="00C643B7" w:rsidRDefault="00CD7215"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bCs/>
                <w:sz w:val="28"/>
                <w:szCs w:val="28"/>
              </w:rPr>
              <w:t xml:space="preserve">Протягом періоду оцінки </w:t>
            </w:r>
            <w:r w:rsidRPr="00C643B7">
              <w:rPr>
                <w:rFonts w:ascii="Times New Roman" w:hAnsi="Times New Roman"/>
                <w:sz w:val="28"/>
                <w:szCs w:val="28"/>
                <w:shd w:val="clear" w:color="auto" w:fill="FFFFFF"/>
              </w:rPr>
              <w:t xml:space="preserve">кількість виявлених порушень </w:t>
            </w:r>
            <w:r w:rsidRPr="00C643B7">
              <w:rPr>
                <w:rFonts w:ascii="Times New Roman" w:hAnsi="Times New Roman"/>
                <w:bCs/>
                <w:sz w:val="28"/>
                <w:szCs w:val="28"/>
              </w:rPr>
              <w:t>кредитною спілкою</w:t>
            </w:r>
            <w:r w:rsidRPr="00C643B7">
              <w:rPr>
                <w:rFonts w:ascii="Times New Roman" w:hAnsi="Times New Roman"/>
                <w:sz w:val="28"/>
                <w:szCs w:val="28"/>
                <w:shd w:val="clear" w:color="auto" w:fill="FFFFFF"/>
              </w:rPr>
              <w:t xml:space="preserve"> законодавства (включаючи нормативно-правових актів Національного банку, Нацкомфінпослуг) за результатами розгляду звернень споживачів фінансових послуг становить або перевищує середню кількість порушень, але не перевищує подвійну середню кількість таких виявлених порушень </w:t>
            </w:r>
          </w:p>
        </w:tc>
        <w:tc>
          <w:tcPr>
            <w:tcW w:w="4535" w:type="dxa"/>
            <w:shd w:val="clear" w:color="auto" w:fill="auto"/>
          </w:tcPr>
          <w:p w:rsidR="00CD7215" w:rsidRPr="00C643B7" w:rsidRDefault="00CD7215"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bCs/>
                <w:sz w:val="28"/>
                <w:szCs w:val="28"/>
              </w:rPr>
              <w:t xml:space="preserve">Протягом періоду оцінки </w:t>
            </w:r>
            <w:r w:rsidRPr="00C643B7">
              <w:rPr>
                <w:rFonts w:ascii="Times New Roman" w:hAnsi="Times New Roman"/>
                <w:sz w:val="28"/>
                <w:szCs w:val="28"/>
                <w:shd w:val="clear" w:color="auto" w:fill="FFFFFF"/>
              </w:rPr>
              <w:t xml:space="preserve">кількість виявлених поручень </w:t>
            </w:r>
            <w:r w:rsidRPr="00C643B7">
              <w:rPr>
                <w:rFonts w:ascii="Times New Roman" w:hAnsi="Times New Roman"/>
                <w:bCs/>
                <w:sz w:val="28"/>
                <w:szCs w:val="28"/>
              </w:rPr>
              <w:t>кредитною спілкою</w:t>
            </w:r>
            <w:r w:rsidRPr="00C643B7">
              <w:rPr>
                <w:rFonts w:ascii="Times New Roman" w:hAnsi="Times New Roman"/>
                <w:sz w:val="28"/>
                <w:szCs w:val="28"/>
                <w:shd w:val="clear" w:color="auto" w:fill="FFFFFF"/>
              </w:rPr>
              <w:t xml:space="preserve"> законодавства (включаючи нормативно-правових актів Національного банку, Нацкомфінпослуг) за результатами розгляду звернень споживачів фінансових послуг перевищує подвійну середню кількість таких виявлених порушень</w:t>
            </w:r>
          </w:p>
        </w:tc>
        <w:tc>
          <w:tcPr>
            <w:tcW w:w="1701" w:type="dxa"/>
          </w:tcPr>
          <w:p w:rsidR="00CD7215" w:rsidRPr="00C643B7" w:rsidRDefault="00CD7215" w:rsidP="004646FD">
            <w:pPr>
              <w:spacing w:line="240" w:lineRule="auto"/>
              <w:jc w:val="center"/>
              <w:rPr>
                <w:rFonts w:ascii="Times New Roman" w:hAnsi="Times New Roman"/>
                <w:color w:val="FF0000"/>
                <w:sz w:val="28"/>
                <w:szCs w:val="28"/>
              </w:rPr>
            </w:pPr>
            <w:r w:rsidRPr="00C643B7">
              <w:rPr>
                <w:rFonts w:ascii="Times New Roman" w:hAnsi="Times New Roman"/>
                <w:bCs/>
                <w:sz w:val="28"/>
                <w:szCs w:val="28"/>
              </w:rPr>
              <w:t>30</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6</w:t>
            </w:r>
          </w:p>
        </w:tc>
        <w:tc>
          <w:tcPr>
            <w:tcW w:w="704" w:type="dxa"/>
            <w:shd w:val="clear" w:color="auto" w:fill="auto"/>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2</w:t>
            </w:r>
          </w:p>
        </w:tc>
        <w:tc>
          <w:tcPr>
            <w:tcW w:w="16981" w:type="dxa"/>
            <w:gridSpan w:val="5"/>
            <w:shd w:val="clear" w:color="auto" w:fill="auto"/>
          </w:tcPr>
          <w:p w:rsidR="00CD7215" w:rsidRPr="00C643B7" w:rsidRDefault="00CD7215" w:rsidP="004646FD">
            <w:pPr>
              <w:pStyle w:val="rvps14"/>
              <w:spacing w:before="0" w:beforeAutospacing="0" w:after="0" w:afterAutospacing="0"/>
              <w:rPr>
                <w:sz w:val="28"/>
                <w:szCs w:val="28"/>
                <w:lang w:val="uk-UA"/>
              </w:rPr>
            </w:pPr>
            <w:r w:rsidRPr="00C643B7">
              <w:rPr>
                <w:sz w:val="28"/>
                <w:szCs w:val="28"/>
                <w:lang w:val="uk-UA"/>
              </w:rPr>
              <w:t>Показники діяльності</w:t>
            </w:r>
          </w:p>
        </w:tc>
        <w:tc>
          <w:tcPr>
            <w:tcW w:w="1701" w:type="dxa"/>
            <w:shd w:val="clear" w:color="auto" w:fill="auto"/>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30</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lastRenderedPageBreak/>
              <w:t>7</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2.1</w:t>
            </w:r>
          </w:p>
        </w:tc>
        <w:tc>
          <w:tcPr>
            <w:tcW w:w="2268"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Здатність генерувати дохід</w:t>
            </w:r>
          </w:p>
        </w:tc>
        <w:tc>
          <w:tcPr>
            <w:tcW w:w="3090" w:type="dxa"/>
          </w:tcPr>
          <w:p w:rsidR="00CD7215" w:rsidRPr="00C643B7" w:rsidRDefault="00CD7215" w:rsidP="004646FD">
            <w:pPr>
              <w:spacing w:line="240" w:lineRule="auto"/>
              <w:jc w:val="both"/>
              <w:rPr>
                <w:rFonts w:ascii="Times New Roman" w:hAnsi="Times New Roman"/>
                <w:sz w:val="28"/>
                <w:szCs w:val="28"/>
                <w:shd w:val="clear" w:color="auto" w:fill="FFFFFF"/>
              </w:rPr>
            </w:pPr>
            <w:r w:rsidRPr="00C643B7">
              <w:rPr>
                <w:rFonts w:ascii="Times New Roman" w:hAnsi="Times New Roman"/>
                <w:sz w:val="28"/>
                <w:szCs w:val="28"/>
              </w:rPr>
              <w:t xml:space="preserve">Протягом періоду оцінки співвідношення операційних витрат до маржі (процентні доходи, зменшені на процентні витрати) становить до 80 </w:t>
            </w:r>
            <w:r w:rsidR="00DA0798" w:rsidRPr="00C643B7">
              <w:rPr>
                <w:rFonts w:ascii="Times New Roman" w:hAnsi="Times New Roman"/>
                <w:sz w:val="28"/>
                <w:szCs w:val="28"/>
              </w:rPr>
              <w:t>%</w:t>
            </w:r>
            <w:r w:rsidRPr="00C643B7">
              <w:rPr>
                <w:rFonts w:ascii="Times New Roman" w:hAnsi="Times New Roman"/>
                <w:sz w:val="28"/>
                <w:szCs w:val="28"/>
              </w:rPr>
              <w:t>.</w:t>
            </w:r>
          </w:p>
        </w:tc>
        <w:tc>
          <w:tcPr>
            <w:tcW w:w="3544" w:type="dxa"/>
          </w:tcPr>
          <w:p w:rsidR="00CD7215" w:rsidRPr="00C643B7" w:rsidRDefault="00CD7215" w:rsidP="004646FD">
            <w:pPr>
              <w:spacing w:line="240" w:lineRule="auto"/>
              <w:jc w:val="both"/>
              <w:rPr>
                <w:rFonts w:ascii="Times New Roman" w:hAnsi="Times New Roman"/>
                <w:bCs/>
                <w:sz w:val="28"/>
                <w:szCs w:val="28"/>
              </w:rPr>
            </w:pPr>
            <w:r w:rsidRPr="00C643B7">
              <w:rPr>
                <w:rFonts w:ascii="Times New Roman" w:hAnsi="Times New Roman"/>
                <w:sz w:val="28"/>
                <w:szCs w:val="28"/>
              </w:rPr>
              <w:t>Протягом періоду оцінки прийнятне співвідношення операційних витрат до маржі (процентні доходи, зменшені на процентні витрати) становить більше 80</w:t>
            </w:r>
            <w:r w:rsidR="00DA0798" w:rsidRPr="00C643B7">
              <w:rPr>
                <w:rFonts w:ascii="Times New Roman" w:hAnsi="Times New Roman"/>
                <w:sz w:val="28"/>
                <w:szCs w:val="28"/>
              </w:rPr>
              <w:t xml:space="preserve"> %</w:t>
            </w:r>
            <w:r w:rsidR="00E414E2" w:rsidRPr="00C643B7">
              <w:rPr>
                <w:rFonts w:ascii="Times New Roman" w:hAnsi="Times New Roman"/>
                <w:sz w:val="28"/>
                <w:szCs w:val="28"/>
              </w:rPr>
              <w:t xml:space="preserve"> </w:t>
            </w:r>
            <w:r w:rsidR="00403416" w:rsidRPr="00C643B7">
              <w:rPr>
                <w:rFonts w:ascii="Times New Roman" w:hAnsi="Times New Roman"/>
                <w:sz w:val="28"/>
                <w:szCs w:val="28"/>
              </w:rPr>
              <w:t>включно, але менше</w:t>
            </w:r>
            <w:r w:rsidR="00CF689A" w:rsidRPr="00C643B7">
              <w:rPr>
                <w:rFonts w:ascii="Times New Roman" w:hAnsi="Times New Roman"/>
                <w:sz w:val="28"/>
                <w:szCs w:val="28"/>
              </w:rPr>
              <w:t xml:space="preserve"> </w:t>
            </w:r>
            <w:r w:rsidRPr="00C643B7">
              <w:rPr>
                <w:rFonts w:ascii="Times New Roman" w:hAnsi="Times New Roman"/>
                <w:sz w:val="28"/>
                <w:szCs w:val="28"/>
              </w:rPr>
              <w:t>95</w:t>
            </w:r>
            <w:r w:rsidR="00DA0798" w:rsidRPr="00C643B7">
              <w:rPr>
                <w:rFonts w:ascii="Times New Roman" w:hAnsi="Times New Roman"/>
                <w:sz w:val="28"/>
                <w:szCs w:val="28"/>
              </w:rPr>
              <w:t xml:space="preserve"> %</w:t>
            </w:r>
            <w:r w:rsidR="00403416" w:rsidRPr="00C643B7">
              <w:rPr>
                <w:rFonts w:ascii="Times New Roman" w:hAnsi="Times New Roman"/>
                <w:sz w:val="28"/>
                <w:szCs w:val="28"/>
              </w:rPr>
              <w:t>.</w:t>
            </w:r>
          </w:p>
        </w:tc>
        <w:tc>
          <w:tcPr>
            <w:tcW w:w="3544"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Протягом періоду оцінки прийнятне співвідношення операційних витрат до маржі (процентні доходи, зменшені на процентні витрати) становить більше 95</w:t>
            </w:r>
            <w:r w:rsidR="00DA0798" w:rsidRPr="00C643B7">
              <w:rPr>
                <w:rFonts w:ascii="Times New Roman" w:hAnsi="Times New Roman"/>
                <w:sz w:val="28"/>
                <w:szCs w:val="28"/>
              </w:rPr>
              <w:t xml:space="preserve"> %</w:t>
            </w:r>
            <w:r w:rsidR="00CF689A" w:rsidRPr="00C643B7">
              <w:rPr>
                <w:rFonts w:ascii="Times New Roman" w:hAnsi="Times New Roman"/>
                <w:sz w:val="28"/>
                <w:szCs w:val="28"/>
              </w:rPr>
              <w:t xml:space="preserve"> </w:t>
            </w:r>
            <w:r w:rsidR="00403416" w:rsidRPr="00C643B7">
              <w:rPr>
                <w:rFonts w:ascii="Times New Roman" w:hAnsi="Times New Roman"/>
                <w:sz w:val="28"/>
                <w:szCs w:val="28"/>
              </w:rPr>
              <w:t>включно, але менше</w:t>
            </w:r>
            <w:r w:rsidR="00CF689A" w:rsidRPr="00C643B7">
              <w:rPr>
                <w:rFonts w:ascii="Times New Roman" w:hAnsi="Times New Roman"/>
                <w:sz w:val="28"/>
                <w:szCs w:val="28"/>
              </w:rPr>
              <w:t xml:space="preserve"> </w:t>
            </w:r>
            <w:r w:rsidRPr="00C643B7">
              <w:rPr>
                <w:rFonts w:ascii="Times New Roman" w:hAnsi="Times New Roman"/>
                <w:sz w:val="28"/>
                <w:szCs w:val="28"/>
              </w:rPr>
              <w:t xml:space="preserve">100 </w:t>
            </w:r>
            <w:r w:rsidR="00DA0798" w:rsidRPr="00C643B7">
              <w:rPr>
                <w:rFonts w:ascii="Times New Roman" w:hAnsi="Times New Roman"/>
                <w:sz w:val="28"/>
                <w:szCs w:val="28"/>
              </w:rPr>
              <w:t>%</w:t>
            </w:r>
            <w:r w:rsidR="00403416" w:rsidRPr="00C643B7">
              <w:rPr>
                <w:rFonts w:ascii="Times New Roman" w:hAnsi="Times New Roman"/>
                <w:sz w:val="28"/>
                <w:szCs w:val="28"/>
              </w:rPr>
              <w:t>.</w:t>
            </w:r>
          </w:p>
        </w:tc>
        <w:tc>
          <w:tcPr>
            <w:tcW w:w="4535" w:type="dxa"/>
          </w:tcPr>
          <w:p w:rsidR="00CD7215" w:rsidRPr="00C643B7" w:rsidRDefault="00CD7215" w:rsidP="004646FD">
            <w:pPr>
              <w:pStyle w:val="rvps14"/>
              <w:spacing w:before="0" w:beforeAutospacing="0" w:after="0" w:afterAutospacing="0"/>
              <w:jc w:val="both"/>
              <w:rPr>
                <w:sz w:val="28"/>
                <w:szCs w:val="28"/>
                <w:lang w:val="uk-UA"/>
              </w:rPr>
            </w:pPr>
            <w:r w:rsidRPr="00C643B7">
              <w:rPr>
                <w:sz w:val="28"/>
                <w:szCs w:val="28"/>
                <w:lang w:val="uk-UA"/>
              </w:rPr>
              <w:t xml:space="preserve">Протягом періоду оцінки співвідношення операційних витрат до маржі (процентні доходи, зменшені на процентні витрати) становить більше 100 </w:t>
            </w:r>
            <w:r w:rsidR="00DA0798" w:rsidRPr="00C643B7">
              <w:rPr>
                <w:sz w:val="28"/>
                <w:szCs w:val="28"/>
                <w:lang w:val="uk-UA"/>
              </w:rPr>
              <w:t>%</w:t>
            </w:r>
            <w:r w:rsidR="00CF689A" w:rsidRPr="00C643B7">
              <w:rPr>
                <w:sz w:val="28"/>
                <w:szCs w:val="28"/>
                <w:lang w:val="uk-UA"/>
              </w:rPr>
              <w:t xml:space="preserve">  </w:t>
            </w:r>
            <w:r w:rsidR="00403416" w:rsidRPr="00C643B7">
              <w:rPr>
                <w:sz w:val="28"/>
                <w:szCs w:val="28"/>
                <w:lang w:val="uk-UA"/>
              </w:rPr>
              <w:t>включн</w:t>
            </w:r>
            <w:r w:rsidR="00CF689A" w:rsidRPr="00C643B7">
              <w:rPr>
                <w:sz w:val="28"/>
                <w:szCs w:val="28"/>
                <w:lang w:val="uk-UA"/>
              </w:rPr>
              <w:t>о</w:t>
            </w:r>
            <w:r w:rsidRPr="00C643B7">
              <w:rPr>
                <w:sz w:val="28"/>
                <w:szCs w:val="28"/>
                <w:lang w:val="uk-UA"/>
              </w:rPr>
              <w:t>.</w:t>
            </w:r>
          </w:p>
        </w:tc>
        <w:tc>
          <w:tcPr>
            <w:tcW w:w="1701" w:type="dxa"/>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30</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8</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2.2</w:t>
            </w:r>
          </w:p>
        </w:tc>
        <w:tc>
          <w:tcPr>
            <w:tcW w:w="2268" w:type="dxa"/>
          </w:tcPr>
          <w:p w:rsidR="00CD7215" w:rsidRPr="00C643B7" w:rsidRDefault="00CD7215" w:rsidP="004646FD">
            <w:pPr>
              <w:spacing w:line="240" w:lineRule="auto"/>
              <w:rPr>
                <w:rFonts w:ascii="Times New Roman" w:hAnsi="Times New Roman"/>
                <w:color w:val="FF0000"/>
                <w:sz w:val="28"/>
                <w:szCs w:val="28"/>
              </w:rPr>
            </w:pPr>
            <w:r w:rsidRPr="00C643B7">
              <w:rPr>
                <w:rFonts w:ascii="Times New Roman" w:hAnsi="Times New Roman"/>
                <w:sz w:val="28"/>
                <w:szCs w:val="28"/>
              </w:rPr>
              <w:t>Зростання активів</w:t>
            </w:r>
          </w:p>
        </w:tc>
        <w:tc>
          <w:tcPr>
            <w:tcW w:w="3090" w:type="dxa"/>
          </w:tcPr>
          <w:p w:rsidR="00CD7215" w:rsidRPr="00C643B7" w:rsidRDefault="00CD7215" w:rsidP="004646FD">
            <w:pPr>
              <w:pStyle w:val="rvps14"/>
              <w:spacing w:before="0" w:beforeAutospacing="0" w:after="0" w:afterAutospacing="0"/>
              <w:jc w:val="both"/>
              <w:rPr>
                <w:sz w:val="28"/>
                <w:szCs w:val="28"/>
                <w:shd w:val="clear" w:color="auto" w:fill="FFFFFF"/>
                <w:lang w:val="uk-UA"/>
              </w:rPr>
            </w:pPr>
            <w:r w:rsidRPr="00C643B7">
              <w:rPr>
                <w:sz w:val="28"/>
                <w:szCs w:val="28"/>
                <w:shd w:val="clear" w:color="auto" w:fill="FFFFFF"/>
                <w:lang w:val="uk-UA"/>
              </w:rPr>
              <w:t xml:space="preserve">Темп зростання розміру активів за період оцінки становить від 100 </w:t>
            </w:r>
            <w:r w:rsidR="00BC1C10" w:rsidRPr="00C643B7">
              <w:rPr>
                <w:sz w:val="28"/>
                <w:szCs w:val="28"/>
                <w:shd w:val="clear" w:color="auto" w:fill="FFFFFF"/>
                <w:lang w:val="uk-UA"/>
              </w:rPr>
              <w:t>%</w:t>
            </w:r>
            <w:r w:rsidR="00926D0B" w:rsidRPr="00C643B7">
              <w:rPr>
                <w:sz w:val="28"/>
                <w:szCs w:val="28"/>
                <w:shd w:val="clear" w:color="auto" w:fill="FFFFFF"/>
                <w:lang w:val="uk-UA"/>
              </w:rPr>
              <w:t xml:space="preserve"> включно</w:t>
            </w:r>
            <w:r w:rsidR="00DE3B10" w:rsidRPr="00C643B7">
              <w:rPr>
                <w:sz w:val="28"/>
                <w:szCs w:val="28"/>
                <w:shd w:val="clear" w:color="auto" w:fill="FFFFFF"/>
                <w:lang w:val="uk-UA"/>
              </w:rPr>
              <w:t>,</w:t>
            </w:r>
            <w:r w:rsidR="00BC1C10" w:rsidRPr="00C643B7">
              <w:rPr>
                <w:sz w:val="28"/>
                <w:szCs w:val="28"/>
                <w:shd w:val="clear" w:color="auto" w:fill="FFFFFF"/>
                <w:lang w:val="uk-UA"/>
              </w:rPr>
              <w:t xml:space="preserve"> </w:t>
            </w:r>
            <w:r w:rsidR="00403416" w:rsidRPr="00C643B7">
              <w:rPr>
                <w:sz w:val="28"/>
                <w:szCs w:val="28"/>
                <w:shd w:val="clear" w:color="auto" w:fill="FFFFFF"/>
                <w:lang w:val="uk-UA"/>
              </w:rPr>
              <w:t>але менше 110 %.</w:t>
            </w:r>
          </w:p>
        </w:tc>
        <w:tc>
          <w:tcPr>
            <w:tcW w:w="3544" w:type="dxa"/>
          </w:tcPr>
          <w:p w:rsidR="00CD7215" w:rsidRPr="00C643B7" w:rsidRDefault="00CD7215" w:rsidP="004646FD">
            <w:pPr>
              <w:spacing w:line="240" w:lineRule="auto"/>
              <w:jc w:val="both"/>
              <w:rPr>
                <w:rFonts w:ascii="Times New Roman" w:hAnsi="Times New Roman"/>
                <w:bCs/>
                <w:sz w:val="28"/>
                <w:szCs w:val="28"/>
              </w:rPr>
            </w:pPr>
            <w:r w:rsidRPr="00C643B7">
              <w:rPr>
                <w:rFonts w:ascii="Times New Roman" w:hAnsi="Times New Roman"/>
                <w:sz w:val="28"/>
                <w:szCs w:val="28"/>
                <w:shd w:val="clear" w:color="auto" w:fill="FFFFFF"/>
              </w:rPr>
              <w:t>Темп зростання розміру активів за період оцінки становить більше 110</w:t>
            </w:r>
            <w:r w:rsidR="00BC1C10" w:rsidRPr="00C643B7">
              <w:rPr>
                <w:rFonts w:ascii="Times New Roman" w:hAnsi="Times New Roman"/>
                <w:sz w:val="28"/>
                <w:szCs w:val="28"/>
                <w:shd w:val="clear" w:color="auto" w:fill="FFFFFF"/>
              </w:rPr>
              <w:t xml:space="preserve"> %</w:t>
            </w:r>
            <w:r w:rsidR="00CF689A" w:rsidRPr="00C643B7">
              <w:rPr>
                <w:rFonts w:ascii="Times New Roman" w:hAnsi="Times New Roman"/>
                <w:sz w:val="28"/>
                <w:szCs w:val="28"/>
                <w:shd w:val="clear" w:color="auto" w:fill="FFFFFF"/>
              </w:rPr>
              <w:t xml:space="preserve"> </w:t>
            </w:r>
            <w:r w:rsidR="00403416" w:rsidRPr="00C643B7">
              <w:rPr>
                <w:rFonts w:ascii="Times New Roman" w:hAnsi="Times New Roman"/>
                <w:sz w:val="28"/>
                <w:szCs w:val="28"/>
                <w:shd w:val="clear" w:color="auto" w:fill="FFFFFF"/>
              </w:rPr>
              <w:t>включно, але менше 115 %</w:t>
            </w:r>
            <w:r w:rsidRPr="00C643B7">
              <w:rPr>
                <w:rFonts w:ascii="Times New Roman" w:hAnsi="Times New Roman"/>
                <w:sz w:val="28"/>
                <w:szCs w:val="28"/>
              </w:rPr>
              <w:t>.</w:t>
            </w:r>
          </w:p>
        </w:tc>
        <w:tc>
          <w:tcPr>
            <w:tcW w:w="3544"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shd w:val="clear" w:color="auto" w:fill="FFFFFF"/>
              </w:rPr>
              <w:t>Темп зростання розміру активів за період оцінки становить більше 115</w:t>
            </w:r>
            <w:r w:rsidR="00BC1C10" w:rsidRPr="00C643B7">
              <w:rPr>
                <w:rFonts w:ascii="Times New Roman" w:hAnsi="Times New Roman"/>
                <w:sz w:val="28"/>
                <w:szCs w:val="28"/>
                <w:shd w:val="clear" w:color="auto" w:fill="FFFFFF"/>
              </w:rPr>
              <w:t xml:space="preserve"> %</w:t>
            </w:r>
            <w:r w:rsidR="00CF689A" w:rsidRPr="00C643B7">
              <w:rPr>
                <w:rFonts w:ascii="Times New Roman" w:hAnsi="Times New Roman"/>
                <w:sz w:val="28"/>
                <w:szCs w:val="28"/>
                <w:shd w:val="clear" w:color="auto" w:fill="FFFFFF"/>
              </w:rPr>
              <w:t xml:space="preserve"> </w:t>
            </w:r>
            <w:r w:rsidR="00403416" w:rsidRPr="00C643B7">
              <w:rPr>
                <w:rFonts w:ascii="Times New Roman" w:hAnsi="Times New Roman"/>
                <w:sz w:val="28"/>
                <w:szCs w:val="28"/>
                <w:shd w:val="clear" w:color="auto" w:fill="FFFFFF"/>
              </w:rPr>
              <w:t>включно,</w:t>
            </w:r>
            <w:r w:rsidRPr="00C643B7">
              <w:rPr>
                <w:rFonts w:ascii="Times New Roman" w:hAnsi="Times New Roman"/>
                <w:sz w:val="28"/>
                <w:szCs w:val="28"/>
                <w:shd w:val="clear" w:color="auto" w:fill="FFFFFF"/>
              </w:rPr>
              <w:t xml:space="preserve"> але </w:t>
            </w:r>
            <w:r w:rsidR="00403416" w:rsidRPr="00C643B7">
              <w:rPr>
                <w:rFonts w:ascii="Times New Roman" w:hAnsi="Times New Roman"/>
                <w:sz w:val="28"/>
                <w:szCs w:val="28"/>
                <w:shd w:val="clear" w:color="auto" w:fill="FFFFFF"/>
              </w:rPr>
              <w:t>менше 120 %</w:t>
            </w:r>
            <w:r w:rsidRPr="00C643B7">
              <w:rPr>
                <w:rFonts w:ascii="Times New Roman" w:hAnsi="Times New Roman"/>
                <w:sz w:val="28"/>
                <w:szCs w:val="28"/>
              </w:rPr>
              <w:t>.</w:t>
            </w:r>
          </w:p>
        </w:tc>
        <w:tc>
          <w:tcPr>
            <w:tcW w:w="4535" w:type="dxa"/>
          </w:tcPr>
          <w:p w:rsidR="00CD7215" w:rsidRPr="00C643B7" w:rsidRDefault="00CD7215" w:rsidP="004646FD">
            <w:pPr>
              <w:pStyle w:val="rvps14"/>
              <w:spacing w:before="0" w:beforeAutospacing="0" w:after="0" w:afterAutospacing="0"/>
              <w:jc w:val="both"/>
              <w:rPr>
                <w:sz w:val="28"/>
                <w:szCs w:val="28"/>
                <w:lang w:val="uk-UA"/>
              </w:rPr>
            </w:pPr>
            <w:r w:rsidRPr="00C643B7">
              <w:rPr>
                <w:sz w:val="28"/>
                <w:szCs w:val="28"/>
                <w:shd w:val="clear" w:color="auto" w:fill="FFFFFF"/>
                <w:lang w:val="uk-UA"/>
              </w:rPr>
              <w:t>Темп зростання розміру активів за період оцінки становить більше 120</w:t>
            </w:r>
            <w:r w:rsidR="0022264A" w:rsidRPr="00C643B7">
              <w:rPr>
                <w:sz w:val="28"/>
                <w:szCs w:val="28"/>
                <w:shd w:val="clear" w:color="auto" w:fill="FFFFFF"/>
                <w:lang w:val="uk-UA"/>
              </w:rPr>
              <w:t xml:space="preserve"> % </w:t>
            </w:r>
            <w:r w:rsidRPr="00C643B7">
              <w:rPr>
                <w:sz w:val="28"/>
                <w:szCs w:val="28"/>
                <w:shd w:val="clear" w:color="auto" w:fill="FFFFFF"/>
                <w:lang w:val="uk-UA"/>
              </w:rPr>
              <w:t xml:space="preserve"> </w:t>
            </w:r>
            <w:r w:rsidR="00403416" w:rsidRPr="00C643B7">
              <w:rPr>
                <w:sz w:val="28"/>
                <w:szCs w:val="28"/>
                <w:shd w:val="clear" w:color="auto" w:fill="FFFFFF"/>
                <w:lang w:val="uk-UA"/>
              </w:rPr>
              <w:t>включно</w:t>
            </w:r>
            <w:r w:rsidR="00CF689A" w:rsidRPr="00C643B7">
              <w:rPr>
                <w:sz w:val="28"/>
                <w:szCs w:val="28"/>
                <w:shd w:val="clear" w:color="auto" w:fill="FFFFFF"/>
                <w:lang w:val="uk-UA"/>
              </w:rPr>
              <w:t xml:space="preserve"> </w:t>
            </w:r>
            <w:r w:rsidRPr="00C643B7">
              <w:rPr>
                <w:sz w:val="28"/>
                <w:szCs w:val="28"/>
                <w:shd w:val="clear" w:color="auto" w:fill="FFFFFF"/>
                <w:lang w:val="uk-UA"/>
              </w:rPr>
              <w:t xml:space="preserve">або менше 100 </w:t>
            </w:r>
            <w:r w:rsidR="00BC1C10" w:rsidRPr="00C643B7">
              <w:rPr>
                <w:sz w:val="28"/>
                <w:szCs w:val="28"/>
                <w:shd w:val="clear" w:color="auto" w:fill="FFFFFF"/>
                <w:lang w:val="uk-UA"/>
              </w:rPr>
              <w:t>%</w:t>
            </w:r>
            <w:r w:rsidRPr="00C643B7">
              <w:rPr>
                <w:sz w:val="28"/>
                <w:szCs w:val="28"/>
                <w:shd w:val="clear" w:color="auto" w:fill="FFFFFF"/>
                <w:lang w:val="uk-UA"/>
              </w:rPr>
              <w:t>.</w:t>
            </w:r>
          </w:p>
        </w:tc>
        <w:tc>
          <w:tcPr>
            <w:tcW w:w="1701" w:type="dxa"/>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10</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9</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2.3</w:t>
            </w:r>
          </w:p>
        </w:tc>
        <w:tc>
          <w:tcPr>
            <w:tcW w:w="2268"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Якість активів (кредитного портфелю)</w:t>
            </w:r>
          </w:p>
        </w:tc>
        <w:tc>
          <w:tcPr>
            <w:tcW w:w="3090" w:type="dxa"/>
          </w:tcPr>
          <w:p w:rsidR="00CD7215" w:rsidRPr="00C643B7" w:rsidRDefault="00CD7215" w:rsidP="004646FD">
            <w:pPr>
              <w:pStyle w:val="rvps14"/>
              <w:spacing w:before="0" w:beforeAutospacing="0" w:after="0" w:afterAutospacing="0"/>
              <w:rPr>
                <w:sz w:val="28"/>
                <w:szCs w:val="28"/>
                <w:shd w:val="clear" w:color="auto" w:fill="FFFFFF"/>
                <w:lang w:val="uk-UA"/>
              </w:rPr>
            </w:pPr>
            <w:r w:rsidRPr="00C643B7">
              <w:rPr>
                <w:sz w:val="28"/>
                <w:szCs w:val="28"/>
                <w:lang w:val="uk-UA"/>
              </w:rPr>
              <w:t>Прострочені кредити на звітну дату періоду оцінки</w:t>
            </w:r>
            <w:r w:rsidR="00C643B7" w:rsidRPr="00C643B7">
              <w:rPr>
                <w:sz w:val="28"/>
                <w:szCs w:val="28"/>
              </w:rPr>
              <w:t xml:space="preserve"> </w:t>
            </w:r>
            <w:r w:rsidRPr="00C643B7">
              <w:rPr>
                <w:sz w:val="28"/>
                <w:szCs w:val="28"/>
                <w:lang w:val="uk-UA"/>
              </w:rPr>
              <w:t xml:space="preserve">становили менше 5 </w:t>
            </w:r>
            <w:r w:rsidR="00BC1C10" w:rsidRPr="00C643B7">
              <w:rPr>
                <w:sz w:val="28"/>
                <w:szCs w:val="28"/>
                <w:lang w:val="uk-UA"/>
              </w:rPr>
              <w:t>%</w:t>
            </w:r>
            <w:r w:rsidRPr="00C643B7">
              <w:rPr>
                <w:sz w:val="28"/>
                <w:szCs w:val="28"/>
                <w:lang w:val="uk-UA"/>
              </w:rPr>
              <w:t xml:space="preserve"> </w:t>
            </w:r>
            <w:r w:rsidR="00403416" w:rsidRPr="00C643B7">
              <w:rPr>
                <w:sz w:val="28"/>
                <w:szCs w:val="28"/>
                <w:lang w:val="uk-UA"/>
              </w:rPr>
              <w:t>включно</w:t>
            </w:r>
            <w:r w:rsidR="00CF3888" w:rsidRPr="00C643B7">
              <w:rPr>
                <w:sz w:val="28"/>
                <w:szCs w:val="28"/>
                <w:lang w:val="uk-UA"/>
              </w:rPr>
              <w:t xml:space="preserve"> </w:t>
            </w:r>
            <w:r w:rsidRPr="00C643B7">
              <w:rPr>
                <w:sz w:val="28"/>
                <w:szCs w:val="28"/>
                <w:lang w:val="uk-UA"/>
              </w:rPr>
              <w:t xml:space="preserve">від загального кредитного портфелю </w:t>
            </w:r>
          </w:p>
        </w:tc>
        <w:tc>
          <w:tcPr>
            <w:tcW w:w="3544" w:type="dxa"/>
          </w:tcPr>
          <w:p w:rsidR="00CD7215" w:rsidRPr="00C643B7" w:rsidRDefault="00CD7215" w:rsidP="004646FD">
            <w:pPr>
              <w:spacing w:line="240" w:lineRule="auto"/>
              <w:rPr>
                <w:rFonts w:ascii="Times New Roman" w:hAnsi="Times New Roman"/>
                <w:sz w:val="28"/>
                <w:szCs w:val="28"/>
                <w:shd w:val="clear" w:color="auto" w:fill="FFFFFF"/>
              </w:rPr>
            </w:pPr>
            <w:r w:rsidRPr="00C643B7">
              <w:rPr>
                <w:rFonts w:ascii="Times New Roman" w:hAnsi="Times New Roman"/>
                <w:sz w:val="28"/>
                <w:szCs w:val="28"/>
              </w:rPr>
              <w:t xml:space="preserve">Прострочені кредити на звітну дату періоду оцінки становили </w:t>
            </w:r>
            <w:r w:rsidR="00403416" w:rsidRPr="00C643B7">
              <w:rPr>
                <w:rFonts w:ascii="Times New Roman" w:hAnsi="Times New Roman"/>
                <w:sz w:val="28"/>
                <w:szCs w:val="28"/>
              </w:rPr>
              <w:t xml:space="preserve">більше 5% </w:t>
            </w:r>
            <w:r w:rsidR="00DE3B10" w:rsidRPr="00C643B7">
              <w:rPr>
                <w:rFonts w:ascii="Times New Roman" w:hAnsi="Times New Roman"/>
                <w:sz w:val="28"/>
                <w:szCs w:val="28"/>
              </w:rPr>
              <w:t>,</w:t>
            </w:r>
            <w:r w:rsidR="00403416" w:rsidRPr="00C643B7">
              <w:rPr>
                <w:rFonts w:ascii="Times New Roman" w:hAnsi="Times New Roman"/>
                <w:sz w:val="28"/>
                <w:szCs w:val="28"/>
              </w:rPr>
              <w:t xml:space="preserve"> але не більше</w:t>
            </w:r>
            <w:r w:rsidRPr="00C643B7">
              <w:rPr>
                <w:rFonts w:ascii="Times New Roman" w:hAnsi="Times New Roman"/>
                <w:sz w:val="28"/>
                <w:szCs w:val="28"/>
              </w:rPr>
              <w:t xml:space="preserve"> 10 </w:t>
            </w:r>
            <w:r w:rsidR="00BC1C10" w:rsidRPr="00C643B7">
              <w:rPr>
                <w:rFonts w:ascii="Times New Roman" w:hAnsi="Times New Roman"/>
                <w:sz w:val="28"/>
                <w:szCs w:val="28"/>
              </w:rPr>
              <w:t>%</w:t>
            </w:r>
            <w:r w:rsidRPr="00C643B7">
              <w:rPr>
                <w:rFonts w:ascii="Times New Roman" w:hAnsi="Times New Roman"/>
                <w:sz w:val="28"/>
                <w:szCs w:val="28"/>
              </w:rPr>
              <w:t xml:space="preserve"> включно від загального кредитного портфелю</w:t>
            </w:r>
          </w:p>
        </w:tc>
        <w:tc>
          <w:tcPr>
            <w:tcW w:w="3544" w:type="dxa"/>
          </w:tcPr>
          <w:p w:rsidR="00CD7215" w:rsidRPr="00C643B7" w:rsidRDefault="00CD7215" w:rsidP="004646FD">
            <w:pPr>
              <w:spacing w:line="240" w:lineRule="auto"/>
              <w:rPr>
                <w:rFonts w:ascii="Times New Roman" w:hAnsi="Times New Roman"/>
                <w:sz w:val="28"/>
                <w:szCs w:val="28"/>
                <w:shd w:val="clear" w:color="auto" w:fill="FFFFFF"/>
              </w:rPr>
            </w:pPr>
            <w:r w:rsidRPr="00C643B7">
              <w:rPr>
                <w:rFonts w:ascii="Times New Roman" w:hAnsi="Times New Roman"/>
                <w:sz w:val="28"/>
                <w:szCs w:val="28"/>
              </w:rPr>
              <w:t>Прострочені кредити на звітну дату періоду оцінки становили більше 10</w:t>
            </w:r>
            <w:r w:rsidR="00BC1C10" w:rsidRPr="00C643B7">
              <w:rPr>
                <w:rFonts w:ascii="Times New Roman" w:hAnsi="Times New Roman"/>
                <w:sz w:val="28"/>
                <w:szCs w:val="28"/>
              </w:rPr>
              <w:t xml:space="preserve"> %</w:t>
            </w:r>
            <w:r w:rsidR="00DE3B10" w:rsidRPr="00C643B7">
              <w:rPr>
                <w:rFonts w:ascii="Times New Roman" w:hAnsi="Times New Roman"/>
                <w:sz w:val="28"/>
                <w:szCs w:val="28"/>
              </w:rPr>
              <w:t>,</w:t>
            </w:r>
            <w:r w:rsidR="00026EDD" w:rsidRPr="00C643B7">
              <w:rPr>
                <w:rFonts w:ascii="Times New Roman" w:hAnsi="Times New Roman"/>
                <w:sz w:val="28"/>
                <w:szCs w:val="28"/>
              </w:rPr>
              <w:t xml:space="preserve"> </w:t>
            </w:r>
            <w:r w:rsidR="00403416" w:rsidRPr="00C643B7">
              <w:rPr>
                <w:rFonts w:ascii="Times New Roman" w:hAnsi="Times New Roman"/>
                <w:sz w:val="28"/>
                <w:szCs w:val="28"/>
              </w:rPr>
              <w:t>але  не більше</w:t>
            </w:r>
            <w:r w:rsidR="00812F85" w:rsidRPr="00C643B7">
              <w:rPr>
                <w:rFonts w:ascii="Times New Roman" w:hAnsi="Times New Roman"/>
                <w:sz w:val="28"/>
                <w:szCs w:val="28"/>
              </w:rPr>
              <w:t xml:space="preserve"> </w:t>
            </w:r>
            <w:r w:rsidRPr="00C643B7">
              <w:rPr>
                <w:rFonts w:ascii="Times New Roman" w:hAnsi="Times New Roman"/>
                <w:sz w:val="28"/>
                <w:szCs w:val="28"/>
              </w:rPr>
              <w:t xml:space="preserve">20 </w:t>
            </w:r>
            <w:r w:rsidR="00BC1C10" w:rsidRPr="00C643B7">
              <w:rPr>
                <w:rFonts w:ascii="Times New Roman" w:hAnsi="Times New Roman"/>
                <w:sz w:val="28"/>
                <w:szCs w:val="28"/>
              </w:rPr>
              <w:t>%</w:t>
            </w:r>
            <w:r w:rsidRPr="00C643B7">
              <w:rPr>
                <w:rFonts w:ascii="Times New Roman" w:hAnsi="Times New Roman"/>
                <w:sz w:val="28"/>
                <w:szCs w:val="28"/>
              </w:rPr>
              <w:t xml:space="preserve"> включно від загального кредитного портфелю</w:t>
            </w:r>
          </w:p>
        </w:tc>
        <w:tc>
          <w:tcPr>
            <w:tcW w:w="4535" w:type="dxa"/>
          </w:tcPr>
          <w:p w:rsidR="00CD7215" w:rsidRPr="00C643B7" w:rsidRDefault="00CD7215" w:rsidP="004646FD">
            <w:pPr>
              <w:pStyle w:val="rvps14"/>
              <w:spacing w:before="0" w:beforeAutospacing="0" w:after="0" w:afterAutospacing="0"/>
              <w:jc w:val="both"/>
              <w:rPr>
                <w:sz w:val="28"/>
                <w:szCs w:val="28"/>
                <w:shd w:val="clear" w:color="auto" w:fill="FFFFFF"/>
                <w:lang w:val="uk-UA"/>
              </w:rPr>
            </w:pPr>
            <w:r w:rsidRPr="00C643B7">
              <w:rPr>
                <w:sz w:val="28"/>
                <w:szCs w:val="28"/>
                <w:lang w:val="uk-UA"/>
              </w:rPr>
              <w:t xml:space="preserve">Прострочені кредити на звітну дату періоду оцінки становили більше 20 </w:t>
            </w:r>
            <w:r w:rsidR="00BC1C10" w:rsidRPr="00C643B7">
              <w:rPr>
                <w:sz w:val="28"/>
                <w:szCs w:val="28"/>
                <w:lang w:val="uk-UA"/>
              </w:rPr>
              <w:t>%</w:t>
            </w:r>
            <w:r w:rsidRPr="00C643B7">
              <w:rPr>
                <w:sz w:val="28"/>
                <w:szCs w:val="28"/>
                <w:lang w:val="uk-UA"/>
              </w:rPr>
              <w:t xml:space="preserve"> від загального кредитного портфелю.</w:t>
            </w:r>
          </w:p>
        </w:tc>
        <w:tc>
          <w:tcPr>
            <w:tcW w:w="1701" w:type="dxa"/>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60</w:t>
            </w:r>
          </w:p>
        </w:tc>
      </w:tr>
      <w:tr w:rsidR="00CD7215" w:rsidRPr="00C643B7" w:rsidTr="00983919">
        <w:tc>
          <w:tcPr>
            <w:tcW w:w="704" w:type="dxa"/>
          </w:tcPr>
          <w:p w:rsidR="00CD7215" w:rsidRPr="00C643B7" w:rsidRDefault="00753711" w:rsidP="004646FD">
            <w:pPr>
              <w:spacing w:line="240" w:lineRule="auto"/>
              <w:jc w:val="center"/>
              <w:rPr>
                <w:rFonts w:ascii="Times New Roman" w:hAnsi="Times New Roman"/>
                <w:sz w:val="28"/>
                <w:szCs w:val="28"/>
              </w:rPr>
            </w:pPr>
            <w:r w:rsidRPr="00C643B7">
              <w:rPr>
                <w:rFonts w:ascii="Times New Roman" w:hAnsi="Times New Roman"/>
                <w:sz w:val="28"/>
                <w:szCs w:val="28"/>
              </w:rPr>
              <w:t>10</w:t>
            </w:r>
          </w:p>
        </w:tc>
        <w:tc>
          <w:tcPr>
            <w:tcW w:w="704" w:type="dxa"/>
            <w:shd w:val="clear" w:color="auto" w:fill="auto"/>
          </w:tcPr>
          <w:p w:rsidR="00CD7215" w:rsidRPr="00C643B7" w:rsidRDefault="00CD7215"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16981" w:type="dxa"/>
            <w:gridSpan w:val="5"/>
            <w:shd w:val="clear" w:color="auto" w:fill="auto"/>
          </w:tcPr>
          <w:p w:rsidR="00CD7215" w:rsidRPr="00C643B7" w:rsidRDefault="00CD7215" w:rsidP="004646FD">
            <w:pPr>
              <w:pStyle w:val="rvps14"/>
              <w:spacing w:before="0" w:beforeAutospacing="0" w:after="0" w:afterAutospacing="0"/>
              <w:rPr>
                <w:sz w:val="28"/>
                <w:szCs w:val="28"/>
                <w:lang w:val="uk-UA"/>
              </w:rPr>
            </w:pPr>
            <w:r w:rsidRPr="00C643B7">
              <w:rPr>
                <w:sz w:val="28"/>
                <w:szCs w:val="28"/>
                <w:lang w:val="uk-UA"/>
              </w:rPr>
              <w:t>Виконання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p>
        </w:tc>
        <w:tc>
          <w:tcPr>
            <w:tcW w:w="1701" w:type="dxa"/>
            <w:shd w:val="clear" w:color="auto" w:fill="auto"/>
          </w:tcPr>
          <w:p w:rsidR="00CD7215" w:rsidRPr="00C643B7" w:rsidRDefault="00CD7215" w:rsidP="004646FD">
            <w:pPr>
              <w:spacing w:line="240" w:lineRule="auto"/>
              <w:jc w:val="center"/>
              <w:rPr>
                <w:rFonts w:ascii="Times New Roman" w:hAnsi="Times New Roman"/>
                <w:bCs/>
                <w:sz w:val="28"/>
                <w:szCs w:val="28"/>
              </w:rPr>
            </w:pPr>
            <w:r w:rsidRPr="00C643B7">
              <w:rPr>
                <w:rFonts w:ascii="Times New Roman" w:hAnsi="Times New Roman"/>
                <w:bCs/>
                <w:sz w:val="28"/>
                <w:szCs w:val="28"/>
              </w:rPr>
              <w:t>60</w:t>
            </w:r>
          </w:p>
        </w:tc>
      </w:tr>
      <w:tr w:rsidR="00CD7215" w:rsidRPr="00C643B7" w:rsidTr="00983919">
        <w:tc>
          <w:tcPr>
            <w:tcW w:w="704" w:type="dxa"/>
          </w:tcPr>
          <w:p w:rsidR="00CD7215" w:rsidRPr="00C643B7" w:rsidRDefault="00753711" w:rsidP="004646FD">
            <w:pPr>
              <w:spacing w:line="240" w:lineRule="auto"/>
              <w:rPr>
                <w:rFonts w:ascii="Times New Roman" w:hAnsi="Times New Roman"/>
                <w:sz w:val="28"/>
                <w:szCs w:val="28"/>
              </w:rPr>
            </w:pPr>
            <w:r w:rsidRPr="00C643B7">
              <w:rPr>
                <w:rFonts w:ascii="Times New Roman" w:hAnsi="Times New Roman"/>
                <w:sz w:val="28"/>
                <w:szCs w:val="28"/>
              </w:rPr>
              <w:t>11</w:t>
            </w:r>
          </w:p>
        </w:tc>
        <w:tc>
          <w:tcPr>
            <w:tcW w:w="704" w:type="dxa"/>
          </w:tcPr>
          <w:p w:rsidR="00CD7215" w:rsidRPr="00C643B7" w:rsidRDefault="00CD7215" w:rsidP="004646FD">
            <w:pPr>
              <w:spacing w:line="240" w:lineRule="auto"/>
              <w:rPr>
                <w:rFonts w:ascii="Times New Roman" w:hAnsi="Times New Roman"/>
                <w:sz w:val="28"/>
                <w:szCs w:val="28"/>
              </w:rPr>
            </w:pPr>
            <w:r w:rsidRPr="00C643B7">
              <w:rPr>
                <w:rFonts w:ascii="Times New Roman" w:hAnsi="Times New Roman"/>
                <w:sz w:val="28"/>
                <w:szCs w:val="28"/>
              </w:rPr>
              <w:t>3.1</w:t>
            </w:r>
          </w:p>
        </w:tc>
        <w:tc>
          <w:tcPr>
            <w:tcW w:w="2268"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t xml:space="preserve">Дотримання нормативу </w:t>
            </w:r>
            <w:r w:rsidRPr="00C643B7">
              <w:rPr>
                <w:rFonts w:ascii="Times New Roman" w:hAnsi="Times New Roman"/>
                <w:sz w:val="28"/>
                <w:szCs w:val="28"/>
              </w:rPr>
              <w:lastRenderedPageBreak/>
              <w:t>достатності капіталу</w:t>
            </w:r>
          </w:p>
        </w:tc>
        <w:tc>
          <w:tcPr>
            <w:tcW w:w="3090"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lastRenderedPageBreak/>
              <w:t xml:space="preserve">На дату оцінки значення нормативу достатності капіталу становить більше 12 </w:t>
            </w:r>
            <w:r w:rsidR="00DB4B99" w:rsidRPr="00C643B7">
              <w:rPr>
                <w:rFonts w:ascii="Times New Roman" w:hAnsi="Times New Roman"/>
                <w:sz w:val="28"/>
                <w:szCs w:val="28"/>
              </w:rPr>
              <w:t>%</w:t>
            </w:r>
            <w:r w:rsidRPr="00C643B7">
              <w:rPr>
                <w:rFonts w:ascii="Times New Roman" w:hAnsi="Times New Roman"/>
                <w:sz w:val="28"/>
                <w:szCs w:val="28"/>
              </w:rPr>
              <w:t xml:space="preserve">, </w:t>
            </w:r>
            <w:r w:rsidRPr="00C643B7">
              <w:rPr>
                <w:rFonts w:ascii="Times New Roman" w:hAnsi="Times New Roman"/>
                <w:sz w:val="28"/>
                <w:szCs w:val="28"/>
              </w:rPr>
              <w:lastRenderedPageBreak/>
              <w:t>за умови, що резерв забезпечення покриття втрат від неповернених позичок (далі – РЗПВ) формується відповідно</w:t>
            </w:r>
            <w:r w:rsidRPr="00C643B7">
              <w:rPr>
                <w:rFonts w:ascii="Times New Roman" w:eastAsia="Times New Roman" w:hAnsi="Times New Roman"/>
                <w:sz w:val="28"/>
                <w:szCs w:val="28"/>
              </w:rPr>
              <w:t xml:space="preserve"> Положення про обов’язкові фінансові нормативи та вимоги, що обмежують ризики за операціями з фінансовими активами кредитних спілок</w:t>
            </w:r>
            <w:r w:rsidRPr="00C643B7">
              <w:rPr>
                <w:rFonts w:ascii="Times New Roman" w:hAnsi="Times New Roman"/>
                <w:sz w:val="28"/>
                <w:szCs w:val="28"/>
              </w:rPr>
              <w:t xml:space="preserve">, затвердженого розпорядженням </w:t>
            </w:r>
            <w:r w:rsidR="00CB3E31" w:rsidRPr="00C643B7">
              <w:rPr>
                <w:rFonts w:ascii="Times New Roman" w:hAnsi="Times New Roman"/>
                <w:sz w:val="28"/>
                <w:szCs w:val="28"/>
              </w:rPr>
              <w:t>Національної комісії, що здійснює державне регулювання у сфері ринків фінансових послуг</w:t>
            </w:r>
            <w:r w:rsidRPr="00C643B7">
              <w:rPr>
                <w:rFonts w:ascii="Times New Roman" w:hAnsi="Times New Roman"/>
                <w:sz w:val="28"/>
                <w:szCs w:val="28"/>
              </w:rPr>
              <w:t xml:space="preserve"> від 19</w:t>
            </w:r>
            <w:r w:rsidR="00CB3E31" w:rsidRPr="00C643B7">
              <w:rPr>
                <w:rFonts w:ascii="Times New Roman" w:hAnsi="Times New Roman"/>
                <w:sz w:val="28"/>
                <w:szCs w:val="28"/>
              </w:rPr>
              <w:t xml:space="preserve"> вересня </w:t>
            </w:r>
            <w:r w:rsidRPr="00C643B7">
              <w:rPr>
                <w:rFonts w:ascii="Times New Roman" w:hAnsi="Times New Roman"/>
                <w:sz w:val="28"/>
                <w:szCs w:val="28"/>
              </w:rPr>
              <w:t xml:space="preserve">2019  </w:t>
            </w:r>
            <w:r w:rsidR="00CB3E31" w:rsidRPr="00C643B7">
              <w:rPr>
                <w:rFonts w:ascii="Times New Roman" w:hAnsi="Times New Roman"/>
                <w:sz w:val="28"/>
                <w:szCs w:val="28"/>
              </w:rPr>
              <w:t xml:space="preserve">року </w:t>
            </w:r>
            <w:r w:rsidRPr="00C643B7">
              <w:rPr>
                <w:rFonts w:ascii="Times New Roman" w:hAnsi="Times New Roman"/>
                <w:sz w:val="28"/>
                <w:szCs w:val="28"/>
              </w:rPr>
              <w:t>№ 1840</w:t>
            </w:r>
            <w:r w:rsidR="00CB3E31" w:rsidRPr="00C643B7">
              <w:rPr>
                <w:rFonts w:ascii="Times New Roman" w:hAnsi="Times New Roman"/>
                <w:sz w:val="28"/>
                <w:szCs w:val="28"/>
              </w:rPr>
              <w:t xml:space="preserve">, зареєстрованого в Міністерстві юстиції України </w:t>
            </w:r>
            <w:r w:rsidR="00CB3E31" w:rsidRPr="00C643B7">
              <w:rPr>
                <w:rStyle w:val="rvts9"/>
                <w:rFonts w:ascii="Times New Roman" w:hAnsi="Times New Roman"/>
                <w:bCs/>
                <w:sz w:val="28"/>
                <w:szCs w:val="28"/>
                <w:shd w:val="clear" w:color="auto" w:fill="FFFFFF"/>
              </w:rPr>
              <w:t>27 листопада 2019 року</w:t>
            </w:r>
            <w:r w:rsidR="00CB3E31" w:rsidRPr="00C643B7">
              <w:rPr>
                <w:rFonts w:ascii="Times New Roman" w:hAnsi="Times New Roman"/>
                <w:sz w:val="28"/>
                <w:szCs w:val="28"/>
              </w:rPr>
              <w:br/>
            </w:r>
            <w:r w:rsidR="00CB3E31" w:rsidRPr="00C643B7">
              <w:rPr>
                <w:rStyle w:val="rvts9"/>
                <w:rFonts w:ascii="Times New Roman" w:hAnsi="Times New Roman"/>
                <w:bCs/>
                <w:sz w:val="28"/>
                <w:szCs w:val="28"/>
                <w:shd w:val="clear" w:color="auto" w:fill="FFFFFF"/>
              </w:rPr>
              <w:t>за № 1186/34157</w:t>
            </w:r>
            <w:r w:rsidR="00CB3E31" w:rsidRPr="00C643B7">
              <w:rPr>
                <w:rStyle w:val="rvts9"/>
                <w:b/>
                <w:bCs/>
                <w:sz w:val="30"/>
                <w:szCs w:val="30"/>
                <w:shd w:val="clear" w:color="auto" w:fill="FFFFFF"/>
              </w:rPr>
              <w:t xml:space="preserve"> </w:t>
            </w:r>
            <w:r w:rsidRPr="00C643B7">
              <w:rPr>
                <w:rFonts w:ascii="Times New Roman" w:hAnsi="Times New Roman"/>
                <w:sz w:val="28"/>
                <w:szCs w:val="28"/>
              </w:rPr>
              <w:t xml:space="preserve">(далі – Положення №1840). </w:t>
            </w:r>
          </w:p>
        </w:tc>
        <w:tc>
          <w:tcPr>
            <w:tcW w:w="3544"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lastRenderedPageBreak/>
              <w:t>На дату оцінки значення нормативу достатності капіталу становить більше 8</w:t>
            </w:r>
            <w:r w:rsidR="00DB4B99" w:rsidRPr="00C643B7">
              <w:rPr>
                <w:rFonts w:ascii="Times New Roman" w:hAnsi="Times New Roman"/>
                <w:sz w:val="28"/>
                <w:szCs w:val="28"/>
              </w:rPr>
              <w:t xml:space="preserve"> </w:t>
            </w:r>
            <w:r w:rsidR="00403416" w:rsidRPr="00C643B7">
              <w:rPr>
                <w:rFonts w:ascii="Times New Roman" w:hAnsi="Times New Roman"/>
                <w:sz w:val="28"/>
                <w:szCs w:val="28"/>
              </w:rPr>
              <w:t>% включно</w:t>
            </w:r>
            <w:r w:rsidRPr="00C643B7">
              <w:rPr>
                <w:rFonts w:ascii="Times New Roman" w:hAnsi="Times New Roman"/>
                <w:sz w:val="28"/>
                <w:szCs w:val="28"/>
              </w:rPr>
              <w:t xml:space="preserve">, але не більше </w:t>
            </w:r>
            <w:r w:rsidRPr="00C643B7">
              <w:rPr>
                <w:rFonts w:ascii="Times New Roman" w:hAnsi="Times New Roman"/>
                <w:sz w:val="28"/>
                <w:szCs w:val="28"/>
              </w:rPr>
              <w:lastRenderedPageBreak/>
              <w:t xml:space="preserve">12 </w:t>
            </w:r>
            <w:r w:rsidR="00DB4B99" w:rsidRPr="00C643B7">
              <w:rPr>
                <w:rFonts w:ascii="Times New Roman" w:hAnsi="Times New Roman"/>
                <w:sz w:val="28"/>
                <w:szCs w:val="28"/>
              </w:rPr>
              <w:t>%</w:t>
            </w:r>
            <w:r w:rsidRPr="00C643B7">
              <w:rPr>
                <w:rFonts w:ascii="Times New Roman" w:hAnsi="Times New Roman"/>
                <w:sz w:val="28"/>
                <w:szCs w:val="28"/>
              </w:rPr>
              <w:t xml:space="preserve"> включно, за умови, що РЗПВ формується відповідно до Положення № 1840.</w:t>
            </w:r>
          </w:p>
        </w:tc>
        <w:tc>
          <w:tcPr>
            <w:tcW w:w="3544" w:type="dxa"/>
          </w:tcPr>
          <w:p w:rsidR="00CD7215" w:rsidRPr="00C643B7" w:rsidRDefault="00CD7215" w:rsidP="004646FD">
            <w:pPr>
              <w:pStyle w:val="rvps14"/>
              <w:jc w:val="both"/>
              <w:rPr>
                <w:sz w:val="28"/>
                <w:szCs w:val="28"/>
                <w:lang w:val="uk-UA"/>
              </w:rPr>
            </w:pPr>
            <w:r w:rsidRPr="00C643B7">
              <w:rPr>
                <w:sz w:val="28"/>
                <w:szCs w:val="28"/>
                <w:lang w:val="uk-UA"/>
              </w:rPr>
              <w:lastRenderedPageBreak/>
              <w:t>На дату оцінки значення нормативу достатності капіталу становить більше 7</w:t>
            </w:r>
            <w:r w:rsidR="00DB4B99" w:rsidRPr="00C643B7">
              <w:rPr>
                <w:sz w:val="28"/>
                <w:szCs w:val="28"/>
                <w:lang w:val="uk-UA"/>
              </w:rPr>
              <w:t xml:space="preserve"> %</w:t>
            </w:r>
            <w:r w:rsidR="00812F85" w:rsidRPr="00C643B7">
              <w:rPr>
                <w:sz w:val="28"/>
                <w:szCs w:val="28"/>
                <w:lang w:val="uk-UA"/>
              </w:rPr>
              <w:t xml:space="preserve"> </w:t>
            </w:r>
            <w:r w:rsidR="00403416" w:rsidRPr="00C643B7">
              <w:rPr>
                <w:sz w:val="28"/>
                <w:szCs w:val="28"/>
                <w:lang w:val="uk-UA"/>
              </w:rPr>
              <w:t>включно</w:t>
            </w:r>
            <w:r w:rsidRPr="00C643B7">
              <w:rPr>
                <w:sz w:val="28"/>
                <w:szCs w:val="28"/>
                <w:lang w:val="uk-UA"/>
              </w:rPr>
              <w:t xml:space="preserve">, але не більше </w:t>
            </w:r>
            <w:r w:rsidRPr="00C643B7">
              <w:rPr>
                <w:sz w:val="28"/>
                <w:szCs w:val="28"/>
                <w:lang w:val="uk-UA"/>
              </w:rPr>
              <w:lastRenderedPageBreak/>
              <w:t xml:space="preserve">8 </w:t>
            </w:r>
            <w:r w:rsidR="00DB4B99" w:rsidRPr="00C643B7">
              <w:rPr>
                <w:sz w:val="28"/>
                <w:szCs w:val="28"/>
                <w:lang w:val="uk-UA"/>
              </w:rPr>
              <w:t>%</w:t>
            </w:r>
            <w:r w:rsidR="00403416" w:rsidRPr="00C643B7">
              <w:rPr>
                <w:sz w:val="28"/>
                <w:szCs w:val="28"/>
                <w:lang w:val="uk-UA"/>
              </w:rPr>
              <w:t>,</w:t>
            </w:r>
            <w:r w:rsidRPr="00C643B7">
              <w:rPr>
                <w:sz w:val="28"/>
                <w:szCs w:val="28"/>
                <w:lang w:val="uk-UA"/>
              </w:rPr>
              <w:t xml:space="preserve"> за умови, що РЗПВ формується відповідно до Положення № 1840.</w:t>
            </w:r>
          </w:p>
        </w:tc>
        <w:tc>
          <w:tcPr>
            <w:tcW w:w="4535" w:type="dxa"/>
          </w:tcPr>
          <w:p w:rsidR="00CD7215" w:rsidRPr="00C643B7" w:rsidRDefault="00CD7215" w:rsidP="004646FD">
            <w:pPr>
              <w:spacing w:line="240" w:lineRule="auto"/>
              <w:jc w:val="both"/>
              <w:rPr>
                <w:rFonts w:ascii="Times New Roman" w:hAnsi="Times New Roman"/>
                <w:sz w:val="28"/>
                <w:szCs w:val="28"/>
              </w:rPr>
            </w:pPr>
            <w:r w:rsidRPr="00C643B7">
              <w:rPr>
                <w:rFonts w:ascii="Times New Roman" w:hAnsi="Times New Roman"/>
                <w:sz w:val="28"/>
                <w:szCs w:val="28"/>
              </w:rPr>
              <w:lastRenderedPageBreak/>
              <w:t xml:space="preserve">На дату оцінки значення нормативу достатності капіталу становить </w:t>
            </w:r>
            <w:r w:rsidR="00403416" w:rsidRPr="00C643B7">
              <w:rPr>
                <w:rFonts w:ascii="Times New Roman" w:hAnsi="Times New Roman"/>
                <w:sz w:val="28"/>
                <w:szCs w:val="28"/>
              </w:rPr>
              <w:t>мен</w:t>
            </w:r>
            <w:r w:rsidR="00DE3B10" w:rsidRPr="00C643B7">
              <w:rPr>
                <w:rFonts w:ascii="Times New Roman" w:hAnsi="Times New Roman"/>
                <w:sz w:val="28"/>
                <w:szCs w:val="28"/>
              </w:rPr>
              <w:t>ш</w:t>
            </w:r>
            <w:r w:rsidR="00403416" w:rsidRPr="00C643B7">
              <w:rPr>
                <w:rFonts w:ascii="Times New Roman" w:hAnsi="Times New Roman"/>
                <w:sz w:val="28"/>
                <w:szCs w:val="28"/>
              </w:rPr>
              <w:t>е</w:t>
            </w:r>
            <w:r w:rsidR="00812F85" w:rsidRPr="00C643B7">
              <w:rPr>
                <w:rFonts w:ascii="Times New Roman" w:hAnsi="Times New Roman"/>
                <w:sz w:val="28"/>
                <w:szCs w:val="28"/>
              </w:rPr>
              <w:t xml:space="preserve"> </w:t>
            </w:r>
            <w:r w:rsidRPr="00C643B7">
              <w:rPr>
                <w:rFonts w:ascii="Times New Roman" w:hAnsi="Times New Roman"/>
                <w:sz w:val="28"/>
                <w:szCs w:val="28"/>
              </w:rPr>
              <w:t>7</w:t>
            </w:r>
            <w:r w:rsidR="00DB4B99" w:rsidRPr="00C643B7">
              <w:rPr>
                <w:rFonts w:ascii="Times New Roman" w:hAnsi="Times New Roman"/>
                <w:sz w:val="28"/>
                <w:szCs w:val="28"/>
              </w:rPr>
              <w:t xml:space="preserve"> %</w:t>
            </w:r>
            <w:r w:rsidR="00812F85" w:rsidRPr="00C643B7">
              <w:rPr>
                <w:rFonts w:ascii="Times New Roman" w:hAnsi="Times New Roman"/>
                <w:sz w:val="28"/>
                <w:szCs w:val="28"/>
              </w:rPr>
              <w:t>.</w:t>
            </w:r>
            <w:r w:rsidR="00DB4B99" w:rsidRPr="00C643B7">
              <w:rPr>
                <w:rFonts w:ascii="Times New Roman" w:hAnsi="Times New Roman"/>
                <w:sz w:val="28"/>
                <w:szCs w:val="28"/>
              </w:rPr>
              <w:t>.</w:t>
            </w:r>
            <w:r w:rsidRPr="00C643B7">
              <w:rPr>
                <w:rFonts w:ascii="Times New Roman" w:hAnsi="Times New Roman"/>
                <w:sz w:val="28"/>
                <w:szCs w:val="28"/>
              </w:rPr>
              <w:t xml:space="preserve"> </w:t>
            </w:r>
          </w:p>
          <w:p w:rsidR="00CD7215" w:rsidRPr="00C643B7" w:rsidRDefault="00CD7215" w:rsidP="004646FD">
            <w:pPr>
              <w:spacing w:line="240" w:lineRule="auto"/>
              <w:jc w:val="both"/>
              <w:rPr>
                <w:rFonts w:ascii="Times New Roman" w:eastAsia="Times New Roman" w:hAnsi="Times New Roman"/>
                <w:sz w:val="28"/>
                <w:szCs w:val="28"/>
                <w:lang w:eastAsia="ru-RU"/>
              </w:rPr>
            </w:pPr>
          </w:p>
        </w:tc>
        <w:tc>
          <w:tcPr>
            <w:tcW w:w="1701" w:type="dxa"/>
          </w:tcPr>
          <w:p w:rsidR="00CD7215" w:rsidRPr="00C643B7" w:rsidRDefault="00CD7215" w:rsidP="004646FD">
            <w:pPr>
              <w:spacing w:line="240" w:lineRule="auto"/>
              <w:jc w:val="center"/>
              <w:rPr>
                <w:rFonts w:ascii="Times New Roman" w:eastAsia="Times New Roman" w:hAnsi="Times New Roman"/>
                <w:sz w:val="28"/>
                <w:szCs w:val="28"/>
                <w:lang w:eastAsia="ru-RU"/>
              </w:rPr>
            </w:pPr>
            <w:r w:rsidRPr="00C643B7">
              <w:rPr>
                <w:rFonts w:ascii="Times New Roman" w:eastAsia="Times New Roman" w:hAnsi="Times New Roman"/>
                <w:sz w:val="28"/>
                <w:szCs w:val="28"/>
                <w:lang w:eastAsia="ru-RU"/>
              </w:rPr>
              <w:lastRenderedPageBreak/>
              <w:t>40</w:t>
            </w:r>
          </w:p>
        </w:tc>
      </w:tr>
      <w:tr w:rsidR="00F414DE" w:rsidRPr="00C643B7" w:rsidTr="00983919">
        <w:tc>
          <w:tcPr>
            <w:tcW w:w="704" w:type="dxa"/>
          </w:tcPr>
          <w:p w:rsidR="00F414DE" w:rsidRPr="00C643B7" w:rsidRDefault="00F414DE" w:rsidP="004646FD">
            <w:pPr>
              <w:spacing w:line="240" w:lineRule="auto"/>
              <w:rPr>
                <w:rFonts w:ascii="Times New Roman" w:hAnsi="Times New Roman"/>
                <w:sz w:val="28"/>
                <w:szCs w:val="28"/>
              </w:rPr>
            </w:pPr>
            <w:r w:rsidRPr="00C643B7">
              <w:rPr>
                <w:rFonts w:ascii="Times New Roman" w:hAnsi="Times New Roman"/>
                <w:sz w:val="28"/>
                <w:szCs w:val="28"/>
              </w:rPr>
              <w:lastRenderedPageBreak/>
              <w:t>12</w:t>
            </w:r>
          </w:p>
        </w:tc>
        <w:tc>
          <w:tcPr>
            <w:tcW w:w="704" w:type="dxa"/>
          </w:tcPr>
          <w:p w:rsidR="00F414DE" w:rsidRPr="00C643B7" w:rsidRDefault="00F414DE" w:rsidP="004646FD">
            <w:pPr>
              <w:spacing w:line="240" w:lineRule="auto"/>
              <w:rPr>
                <w:rFonts w:ascii="Times New Roman" w:hAnsi="Times New Roman"/>
                <w:sz w:val="28"/>
                <w:szCs w:val="28"/>
              </w:rPr>
            </w:pPr>
            <w:r w:rsidRPr="00C643B7">
              <w:rPr>
                <w:rFonts w:ascii="Times New Roman" w:hAnsi="Times New Roman"/>
                <w:sz w:val="28"/>
                <w:szCs w:val="28"/>
              </w:rPr>
              <w:t>3.2</w:t>
            </w:r>
          </w:p>
        </w:tc>
        <w:tc>
          <w:tcPr>
            <w:tcW w:w="2268" w:type="dxa"/>
          </w:tcPr>
          <w:p w:rsidR="00F414DE" w:rsidRPr="00C643B7" w:rsidRDefault="00F414DE" w:rsidP="004646FD">
            <w:pPr>
              <w:spacing w:line="240" w:lineRule="auto"/>
              <w:jc w:val="both"/>
              <w:rPr>
                <w:rFonts w:ascii="Times New Roman" w:hAnsi="Times New Roman"/>
                <w:sz w:val="28"/>
                <w:szCs w:val="28"/>
              </w:rPr>
            </w:pPr>
            <w:r w:rsidRPr="00C643B7">
              <w:rPr>
                <w:rFonts w:ascii="Times New Roman" w:hAnsi="Times New Roman"/>
                <w:color w:val="333333"/>
                <w:sz w:val="28"/>
                <w:szCs w:val="28"/>
                <w:shd w:val="clear" w:color="auto" w:fill="FFFFFF"/>
              </w:rPr>
              <w:t>Дотримання вимог запасу ліквідності</w:t>
            </w:r>
          </w:p>
        </w:tc>
        <w:tc>
          <w:tcPr>
            <w:tcW w:w="3090" w:type="dxa"/>
          </w:tcPr>
          <w:p w:rsidR="00F414DE" w:rsidRPr="00C643B7" w:rsidRDefault="00F414DE" w:rsidP="004646FD">
            <w:pPr>
              <w:spacing w:line="240" w:lineRule="auto"/>
              <w:jc w:val="both"/>
              <w:rPr>
                <w:rFonts w:ascii="Times New Roman" w:hAnsi="Times New Roman"/>
                <w:sz w:val="28"/>
                <w:szCs w:val="28"/>
              </w:rPr>
            </w:pPr>
            <w:r w:rsidRPr="00C643B7">
              <w:rPr>
                <w:rFonts w:ascii="Times New Roman" w:hAnsi="Times New Roman"/>
                <w:sz w:val="28"/>
                <w:szCs w:val="28"/>
              </w:rPr>
              <w:t xml:space="preserve">На дату оцінки </w:t>
            </w:r>
            <w:r w:rsidRPr="00C643B7">
              <w:rPr>
                <w:rFonts w:ascii="Times New Roman" w:hAnsi="Times New Roman"/>
                <w:sz w:val="28"/>
                <w:szCs w:val="28"/>
                <w:shd w:val="clear" w:color="auto" w:fill="FFFFFF"/>
              </w:rPr>
              <w:t xml:space="preserve"> співвідношення прийнятних активів до розрахункового запасу ліквідності</w:t>
            </w:r>
            <w:r w:rsidRPr="00C643B7" w:rsidDel="006F41E1">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 xml:space="preserve">становить більше 120 </w:t>
            </w:r>
            <w:r w:rsidR="0085003E" w:rsidRPr="00C643B7">
              <w:rPr>
                <w:rFonts w:ascii="Times New Roman" w:hAnsi="Times New Roman"/>
                <w:sz w:val="28"/>
                <w:szCs w:val="28"/>
                <w:shd w:val="clear" w:color="auto" w:fill="FFFFFF"/>
              </w:rPr>
              <w:t>%</w:t>
            </w:r>
            <w:r w:rsidRPr="00C643B7">
              <w:rPr>
                <w:rFonts w:ascii="Times New Roman" w:hAnsi="Times New Roman"/>
                <w:sz w:val="28"/>
                <w:szCs w:val="28"/>
                <w:shd w:val="clear" w:color="auto" w:fill="FFFFFF"/>
              </w:rPr>
              <w:t>, за умови, що співвідношення непродуктивних активів до основного капіталу</w:t>
            </w:r>
            <w:r w:rsidRPr="00C643B7" w:rsidDel="006F41E1">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 xml:space="preserve">становить менше </w:t>
            </w:r>
            <w:r w:rsidRPr="00C643B7">
              <w:rPr>
                <w:rFonts w:ascii="Times New Roman" w:hAnsi="Times New Roman"/>
                <w:sz w:val="28"/>
                <w:szCs w:val="28"/>
              </w:rPr>
              <w:t xml:space="preserve">100 </w:t>
            </w:r>
            <w:r w:rsidR="0085003E" w:rsidRPr="00C643B7">
              <w:rPr>
                <w:rFonts w:ascii="Times New Roman" w:hAnsi="Times New Roman"/>
                <w:sz w:val="28"/>
                <w:szCs w:val="28"/>
              </w:rPr>
              <w:t>%</w:t>
            </w:r>
            <w:r w:rsidRPr="00C643B7">
              <w:rPr>
                <w:rFonts w:ascii="Times New Roman" w:hAnsi="Times New Roman"/>
                <w:sz w:val="28"/>
                <w:szCs w:val="28"/>
              </w:rPr>
              <w:t>.</w:t>
            </w:r>
          </w:p>
        </w:tc>
        <w:tc>
          <w:tcPr>
            <w:tcW w:w="3544" w:type="dxa"/>
          </w:tcPr>
          <w:p w:rsidR="00F414DE" w:rsidRPr="00C643B7" w:rsidRDefault="00F414DE" w:rsidP="004646FD">
            <w:pPr>
              <w:pStyle w:val="rvps14"/>
              <w:spacing w:before="0" w:beforeAutospacing="0" w:after="0" w:afterAutospacing="0"/>
              <w:jc w:val="both"/>
              <w:rPr>
                <w:sz w:val="28"/>
                <w:szCs w:val="28"/>
                <w:lang w:val="uk-UA"/>
              </w:rPr>
            </w:pPr>
            <w:r w:rsidRPr="00C643B7">
              <w:rPr>
                <w:sz w:val="28"/>
                <w:szCs w:val="28"/>
                <w:lang w:val="uk-UA"/>
              </w:rPr>
              <w:t xml:space="preserve">На дату оцінки </w:t>
            </w:r>
            <w:r w:rsidRPr="00C643B7">
              <w:rPr>
                <w:sz w:val="28"/>
                <w:szCs w:val="28"/>
                <w:shd w:val="clear" w:color="auto" w:fill="FFFFFF"/>
                <w:lang w:val="uk-UA"/>
              </w:rPr>
              <w:t xml:space="preserve"> співвідношення прийнятних активів до розрахункового запасу ліквідності</w:t>
            </w:r>
            <w:r w:rsidRPr="00C643B7" w:rsidDel="006F41E1">
              <w:rPr>
                <w:sz w:val="28"/>
                <w:szCs w:val="28"/>
                <w:shd w:val="clear" w:color="auto" w:fill="FFFFFF"/>
                <w:lang w:val="uk-UA"/>
              </w:rPr>
              <w:t xml:space="preserve"> </w:t>
            </w:r>
            <w:r w:rsidRPr="00C643B7">
              <w:rPr>
                <w:sz w:val="28"/>
                <w:szCs w:val="28"/>
                <w:shd w:val="clear" w:color="auto" w:fill="FFFFFF"/>
                <w:lang w:val="uk-UA"/>
              </w:rPr>
              <w:t xml:space="preserve">становить  </w:t>
            </w:r>
            <w:r w:rsidR="00403416" w:rsidRPr="00C643B7">
              <w:rPr>
                <w:sz w:val="28"/>
                <w:szCs w:val="28"/>
                <w:shd w:val="clear" w:color="auto" w:fill="FFFFFF"/>
                <w:lang w:val="uk-UA"/>
              </w:rPr>
              <w:t>більше 100 %</w:t>
            </w:r>
            <w:r w:rsidRPr="00C643B7">
              <w:rPr>
                <w:sz w:val="28"/>
                <w:szCs w:val="28"/>
                <w:shd w:val="clear" w:color="auto" w:fill="FFFFFF"/>
                <w:lang w:val="uk-UA"/>
              </w:rPr>
              <w:t xml:space="preserve">, але не більше 120 </w:t>
            </w:r>
            <w:r w:rsidR="0085003E" w:rsidRPr="00C643B7">
              <w:rPr>
                <w:sz w:val="28"/>
                <w:szCs w:val="28"/>
                <w:shd w:val="clear" w:color="auto" w:fill="FFFFFF"/>
                <w:lang w:val="uk-UA"/>
              </w:rPr>
              <w:t>%</w:t>
            </w:r>
            <w:r w:rsidRPr="00C643B7">
              <w:rPr>
                <w:sz w:val="28"/>
                <w:szCs w:val="28"/>
                <w:shd w:val="clear" w:color="auto" w:fill="FFFFFF"/>
                <w:lang w:val="uk-UA"/>
              </w:rPr>
              <w:t xml:space="preserve"> включно, за умови, що співвідношення непродуктивних активів до основного капіталу</w:t>
            </w:r>
            <w:r w:rsidRPr="00C643B7" w:rsidDel="006F41E1">
              <w:rPr>
                <w:sz w:val="28"/>
                <w:szCs w:val="28"/>
                <w:shd w:val="clear" w:color="auto" w:fill="FFFFFF"/>
                <w:lang w:val="uk-UA"/>
              </w:rPr>
              <w:t xml:space="preserve"> </w:t>
            </w:r>
            <w:r w:rsidRPr="00C643B7">
              <w:rPr>
                <w:sz w:val="28"/>
                <w:szCs w:val="28"/>
                <w:shd w:val="clear" w:color="auto" w:fill="FFFFFF"/>
                <w:lang w:val="uk-UA"/>
              </w:rPr>
              <w:t xml:space="preserve">становить менше </w:t>
            </w:r>
            <w:r w:rsidRPr="00C643B7">
              <w:rPr>
                <w:sz w:val="28"/>
                <w:szCs w:val="28"/>
                <w:lang w:val="uk-UA"/>
              </w:rPr>
              <w:t xml:space="preserve">100 </w:t>
            </w:r>
            <w:r w:rsidR="0085003E" w:rsidRPr="00C643B7">
              <w:rPr>
                <w:sz w:val="28"/>
                <w:szCs w:val="28"/>
                <w:lang w:val="uk-UA"/>
              </w:rPr>
              <w:t>%</w:t>
            </w:r>
            <w:r w:rsidRPr="00C643B7">
              <w:rPr>
                <w:sz w:val="28"/>
                <w:szCs w:val="28"/>
                <w:lang w:val="uk-UA"/>
              </w:rPr>
              <w:t>.</w:t>
            </w:r>
          </w:p>
        </w:tc>
        <w:tc>
          <w:tcPr>
            <w:tcW w:w="3544" w:type="dxa"/>
          </w:tcPr>
          <w:p w:rsidR="00B36463" w:rsidRPr="00C643B7" w:rsidRDefault="00F414DE" w:rsidP="004646FD">
            <w:pPr>
              <w:pStyle w:val="rvps14"/>
              <w:spacing w:before="0" w:beforeAutospacing="0" w:after="0" w:afterAutospacing="0"/>
              <w:jc w:val="both"/>
              <w:rPr>
                <w:sz w:val="28"/>
                <w:szCs w:val="28"/>
                <w:lang w:val="uk-UA"/>
              </w:rPr>
            </w:pPr>
            <w:r w:rsidRPr="00C643B7">
              <w:rPr>
                <w:sz w:val="28"/>
                <w:szCs w:val="28"/>
                <w:lang w:val="uk-UA"/>
              </w:rPr>
              <w:t xml:space="preserve">На дату оцінки </w:t>
            </w:r>
            <w:r w:rsidRPr="00C643B7">
              <w:rPr>
                <w:sz w:val="28"/>
                <w:szCs w:val="28"/>
                <w:shd w:val="clear" w:color="auto" w:fill="FFFFFF"/>
                <w:lang w:val="uk-UA"/>
              </w:rPr>
              <w:t xml:space="preserve"> співвідношення прийнятних активів до розрахункового запасу ліквідності</w:t>
            </w:r>
            <w:r w:rsidRPr="00C643B7" w:rsidDel="006F41E1">
              <w:rPr>
                <w:sz w:val="28"/>
                <w:szCs w:val="28"/>
                <w:shd w:val="clear" w:color="auto" w:fill="FFFFFF"/>
                <w:lang w:val="uk-UA"/>
              </w:rPr>
              <w:t xml:space="preserve"> </w:t>
            </w:r>
            <w:r w:rsidRPr="00C643B7">
              <w:rPr>
                <w:sz w:val="28"/>
                <w:szCs w:val="28"/>
                <w:lang w:val="uk-UA"/>
              </w:rPr>
              <w:t>становить</w:t>
            </w:r>
            <w:r w:rsidR="00DE3B10" w:rsidRPr="00C643B7">
              <w:rPr>
                <w:sz w:val="28"/>
                <w:szCs w:val="28"/>
                <w:lang w:val="uk-UA"/>
              </w:rPr>
              <w:t xml:space="preserve"> </w:t>
            </w:r>
            <w:r w:rsidR="00403416" w:rsidRPr="00C643B7">
              <w:rPr>
                <w:sz w:val="28"/>
                <w:szCs w:val="28"/>
                <w:lang w:val="uk-UA"/>
              </w:rPr>
              <w:t>більше 95% включно</w:t>
            </w:r>
            <w:r w:rsidR="00DE3B10" w:rsidRPr="00C643B7">
              <w:rPr>
                <w:sz w:val="28"/>
                <w:szCs w:val="28"/>
                <w:lang w:val="uk-UA"/>
              </w:rPr>
              <w:t>,</w:t>
            </w:r>
            <w:r w:rsidR="00403416" w:rsidRPr="00C643B7">
              <w:rPr>
                <w:sz w:val="28"/>
                <w:szCs w:val="28"/>
                <w:lang w:val="uk-UA"/>
              </w:rPr>
              <w:t xml:space="preserve"> але не більше  100 % включно; </w:t>
            </w:r>
          </w:p>
          <w:p w:rsidR="00F414DE" w:rsidRPr="00C643B7" w:rsidRDefault="00F414DE" w:rsidP="004646FD">
            <w:pPr>
              <w:pStyle w:val="rvps14"/>
              <w:spacing w:before="0" w:beforeAutospacing="0" w:after="0" w:afterAutospacing="0"/>
              <w:jc w:val="both"/>
              <w:rPr>
                <w:sz w:val="28"/>
                <w:szCs w:val="28"/>
                <w:lang w:val="uk-UA"/>
              </w:rPr>
            </w:pPr>
            <w:r w:rsidRPr="00C643B7">
              <w:rPr>
                <w:sz w:val="28"/>
                <w:szCs w:val="28"/>
                <w:lang w:val="uk-UA"/>
              </w:rPr>
              <w:t>за умови, що співвідношення непродуктивних активів до основного капіталу</w:t>
            </w:r>
            <w:r w:rsidRPr="00C643B7" w:rsidDel="006F41E1">
              <w:rPr>
                <w:sz w:val="28"/>
                <w:szCs w:val="28"/>
                <w:lang w:val="uk-UA"/>
              </w:rPr>
              <w:t xml:space="preserve"> </w:t>
            </w:r>
            <w:r w:rsidRPr="00C643B7">
              <w:rPr>
                <w:sz w:val="28"/>
                <w:szCs w:val="28"/>
                <w:lang w:val="uk-UA"/>
              </w:rPr>
              <w:t xml:space="preserve">становить </w:t>
            </w:r>
            <w:r w:rsidR="00403416" w:rsidRPr="00C643B7">
              <w:rPr>
                <w:sz w:val="28"/>
                <w:szCs w:val="28"/>
                <w:lang w:val="uk-UA"/>
              </w:rPr>
              <w:t>більше</w:t>
            </w:r>
            <w:r w:rsidR="00B36463" w:rsidRPr="00C643B7">
              <w:rPr>
                <w:sz w:val="28"/>
                <w:szCs w:val="28"/>
                <w:lang w:val="uk-UA"/>
              </w:rPr>
              <w:t xml:space="preserve"> </w:t>
            </w:r>
            <w:r w:rsidRPr="00C643B7">
              <w:rPr>
                <w:sz w:val="28"/>
                <w:szCs w:val="28"/>
                <w:lang w:val="uk-UA"/>
              </w:rPr>
              <w:t>100</w:t>
            </w:r>
            <w:r w:rsidR="0085003E" w:rsidRPr="00C643B7">
              <w:rPr>
                <w:sz w:val="28"/>
                <w:szCs w:val="28"/>
                <w:lang w:val="uk-UA"/>
              </w:rPr>
              <w:t>%</w:t>
            </w:r>
            <w:r w:rsidR="00B36463" w:rsidRPr="00C643B7">
              <w:rPr>
                <w:sz w:val="28"/>
                <w:szCs w:val="28"/>
                <w:lang w:val="uk-UA"/>
              </w:rPr>
              <w:t xml:space="preserve"> </w:t>
            </w:r>
            <w:r w:rsidR="00403416" w:rsidRPr="00C643B7">
              <w:rPr>
                <w:sz w:val="28"/>
                <w:szCs w:val="28"/>
                <w:lang w:val="uk-UA"/>
              </w:rPr>
              <w:t>включн</w:t>
            </w:r>
            <w:r w:rsidR="00B36463" w:rsidRPr="00C643B7">
              <w:rPr>
                <w:sz w:val="28"/>
                <w:szCs w:val="28"/>
                <w:lang w:val="uk-UA"/>
              </w:rPr>
              <w:t>о</w:t>
            </w:r>
            <w:r w:rsidRPr="00C643B7">
              <w:rPr>
                <w:sz w:val="28"/>
                <w:szCs w:val="28"/>
                <w:lang w:val="uk-UA"/>
              </w:rPr>
              <w:t>, але не більше</w:t>
            </w:r>
            <w:r w:rsidRPr="00C643B7">
              <w:rPr>
                <w:sz w:val="28"/>
                <w:szCs w:val="28"/>
                <w:shd w:val="clear" w:color="auto" w:fill="FFFFFF"/>
                <w:lang w:val="uk-UA"/>
              </w:rPr>
              <w:t xml:space="preserve"> 120 </w:t>
            </w:r>
            <w:r w:rsidR="0085003E" w:rsidRPr="00C643B7">
              <w:rPr>
                <w:sz w:val="28"/>
                <w:szCs w:val="28"/>
                <w:shd w:val="clear" w:color="auto" w:fill="FFFFFF"/>
                <w:lang w:val="uk-UA"/>
              </w:rPr>
              <w:t>%</w:t>
            </w:r>
            <w:r w:rsidR="00B36463" w:rsidRPr="00C643B7">
              <w:rPr>
                <w:sz w:val="28"/>
                <w:szCs w:val="28"/>
                <w:shd w:val="clear" w:color="auto" w:fill="FFFFFF"/>
                <w:lang w:val="uk-UA"/>
              </w:rPr>
              <w:t xml:space="preserve"> </w:t>
            </w:r>
            <w:r w:rsidR="00403416" w:rsidRPr="00C643B7">
              <w:rPr>
                <w:sz w:val="28"/>
                <w:szCs w:val="28"/>
                <w:shd w:val="clear" w:color="auto" w:fill="FFFFFF"/>
                <w:lang w:val="uk-UA"/>
              </w:rPr>
              <w:t>включно</w:t>
            </w:r>
            <w:r w:rsidR="00403416" w:rsidRPr="00C643B7">
              <w:rPr>
                <w:sz w:val="28"/>
                <w:szCs w:val="28"/>
                <w:lang w:val="uk-UA"/>
              </w:rPr>
              <w:t>.</w:t>
            </w:r>
          </w:p>
        </w:tc>
        <w:tc>
          <w:tcPr>
            <w:tcW w:w="4535" w:type="dxa"/>
          </w:tcPr>
          <w:p w:rsidR="00F414DE" w:rsidRPr="00C643B7" w:rsidRDefault="00F414DE" w:rsidP="004646FD">
            <w:pPr>
              <w:pStyle w:val="rvps14"/>
              <w:spacing w:before="0" w:beforeAutospacing="0" w:after="0" w:afterAutospacing="0"/>
              <w:jc w:val="both"/>
              <w:rPr>
                <w:sz w:val="28"/>
                <w:szCs w:val="28"/>
                <w:shd w:val="clear" w:color="auto" w:fill="FFFFFF"/>
                <w:lang w:val="uk-UA"/>
              </w:rPr>
            </w:pPr>
            <w:r w:rsidRPr="00C643B7">
              <w:rPr>
                <w:sz w:val="28"/>
                <w:szCs w:val="28"/>
                <w:lang w:val="uk-UA"/>
              </w:rPr>
              <w:t xml:space="preserve">На дату оцінки </w:t>
            </w:r>
            <w:r w:rsidRPr="00C643B7">
              <w:rPr>
                <w:sz w:val="28"/>
                <w:szCs w:val="28"/>
                <w:shd w:val="clear" w:color="auto" w:fill="FFFFFF"/>
                <w:lang w:val="uk-UA"/>
              </w:rPr>
              <w:t xml:space="preserve"> співвідношення прийнятних активів до розрахункового запасу ліквідності</w:t>
            </w:r>
            <w:r w:rsidRPr="00C643B7" w:rsidDel="006F41E1">
              <w:rPr>
                <w:sz w:val="28"/>
                <w:szCs w:val="28"/>
                <w:shd w:val="clear" w:color="auto" w:fill="FFFFFF"/>
                <w:lang w:val="uk-UA"/>
              </w:rPr>
              <w:t xml:space="preserve"> </w:t>
            </w:r>
            <w:r w:rsidRPr="00C643B7">
              <w:rPr>
                <w:sz w:val="28"/>
                <w:szCs w:val="28"/>
                <w:shd w:val="clear" w:color="auto" w:fill="FFFFFF"/>
                <w:lang w:val="uk-UA"/>
              </w:rPr>
              <w:t xml:space="preserve">становить: </w:t>
            </w:r>
          </w:p>
          <w:p w:rsidR="00F414DE" w:rsidRPr="00C643B7" w:rsidRDefault="00F414DE" w:rsidP="004646FD">
            <w:pPr>
              <w:pStyle w:val="rvps14"/>
              <w:spacing w:before="0" w:beforeAutospacing="0" w:after="0" w:afterAutospacing="0"/>
              <w:jc w:val="both"/>
              <w:rPr>
                <w:sz w:val="28"/>
                <w:szCs w:val="28"/>
                <w:lang w:val="uk-UA"/>
              </w:rPr>
            </w:pPr>
            <w:r w:rsidRPr="00C643B7">
              <w:rPr>
                <w:sz w:val="28"/>
                <w:szCs w:val="28"/>
                <w:lang w:val="uk-UA"/>
              </w:rPr>
              <w:t xml:space="preserve">- менше 95 </w:t>
            </w:r>
            <w:r w:rsidR="0085003E" w:rsidRPr="00C643B7">
              <w:rPr>
                <w:sz w:val="28"/>
                <w:szCs w:val="28"/>
                <w:lang w:val="uk-UA"/>
              </w:rPr>
              <w:t>%</w:t>
            </w:r>
            <w:r w:rsidRPr="00C643B7">
              <w:rPr>
                <w:sz w:val="28"/>
                <w:szCs w:val="28"/>
                <w:lang w:val="uk-UA"/>
              </w:rPr>
              <w:t>, або</w:t>
            </w:r>
          </w:p>
          <w:p w:rsidR="00F414DE" w:rsidRPr="00C643B7" w:rsidRDefault="00F414DE" w:rsidP="004646FD">
            <w:pPr>
              <w:pStyle w:val="rvps14"/>
              <w:spacing w:before="0" w:beforeAutospacing="0" w:after="0" w:afterAutospacing="0"/>
              <w:jc w:val="both"/>
              <w:rPr>
                <w:strike/>
                <w:sz w:val="28"/>
                <w:szCs w:val="28"/>
                <w:lang w:val="uk-UA"/>
              </w:rPr>
            </w:pPr>
            <w:r w:rsidRPr="00C643B7">
              <w:rPr>
                <w:sz w:val="28"/>
                <w:szCs w:val="28"/>
                <w:lang w:val="uk-UA"/>
              </w:rPr>
              <w:t xml:space="preserve">- більше 100 </w:t>
            </w:r>
            <w:r w:rsidR="0085003E" w:rsidRPr="00C643B7">
              <w:rPr>
                <w:sz w:val="28"/>
                <w:szCs w:val="28"/>
                <w:lang w:val="uk-UA"/>
              </w:rPr>
              <w:t>%</w:t>
            </w:r>
            <w:r w:rsidRPr="00C643B7">
              <w:rPr>
                <w:sz w:val="28"/>
                <w:szCs w:val="28"/>
                <w:lang w:val="uk-UA"/>
              </w:rPr>
              <w:t>, за умови, що співвідношення непродуктивних активів до основного капіталу</w:t>
            </w:r>
            <w:r w:rsidRPr="00C643B7" w:rsidDel="006F41E1">
              <w:rPr>
                <w:sz w:val="28"/>
                <w:szCs w:val="28"/>
                <w:lang w:val="uk-UA"/>
              </w:rPr>
              <w:t xml:space="preserve"> </w:t>
            </w:r>
            <w:r w:rsidRPr="00C643B7">
              <w:rPr>
                <w:sz w:val="28"/>
                <w:szCs w:val="28"/>
                <w:lang w:val="uk-UA"/>
              </w:rPr>
              <w:t xml:space="preserve">становить більше 120 </w:t>
            </w:r>
            <w:r w:rsidR="0085003E" w:rsidRPr="00C643B7">
              <w:rPr>
                <w:sz w:val="28"/>
                <w:szCs w:val="28"/>
                <w:shd w:val="clear" w:color="auto" w:fill="FFFFFF"/>
                <w:lang w:val="uk-UA"/>
              </w:rPr>
              <w:t>%</w:t>
            </w:r>
            <w:r w:rsidRPr="00C643B7">
              <w:rPr>
                <w:sz w:val="28"/>
                <w:szCs w:val="28"/>
                <w:lang w:val="uk-UA"/>
              </w:rPr>
              <w:t>.</w:t>
            </w:r>
          </w:p>
        </w:tc>
        <w:tc>
          <w:tcPr>
            <w:tcW w:w="1701" w:type="dxa"/>
          </w:tcPr>
          <w:p w:rsidR="00F414DE" w:rsidRPr="00C643B7" w:rsidRDefault="00F414DE" w:rsidP="004646FD">
            <w:pPr>
              <w:spacing w:line="240" w:lineRule="auto"/>
              <w:jc w:val="center"/>
              <w:rPr>
                <w:rFonts w:ascii="Times New Roman" w:hAnsi="Times New Roman"/>
                <w:bCs/>
                <w:sz w:val="28"/>
                <w:szCs w:val="28"/>
              </w:rPr>
            </w:pPr>
            <w:r w:rsidRPr="00C643B7">
              <w:rPr>
                <w:rFonts w:ascii="Times New Roman" w:hAnsi="Times New Roman"/>
                <w:bCs/>
                <w:sz w:val="28"/>
                <w:szCs w:val="28"/>
              </w:rPr>
              <w:t>60</w:t>
            </w:r>
          </w:p>
        </w:tc>
      </w:tr>
    </w:tbl>
    <w:p w:rsidR="00A80BA3" w:rsidRPr="00C643B7" w:rsidRDefault="00A80BA3" w:rsidP="004646FD">
      <w:pPr>
        <w:spacing w:after="0" w:line="240" w:lineRule="auto"/>
        <w:ind w:firstLine="10490"/>
        <w:rPr>
          <w:rFonts w:ascii="Times New Roman" w:hAnsi="Times New Roman"/>
          <w:sz w:val="28"/>
          <w:szCs w:val="28"/>
        </w:rPr>
        <w:sectPr w:rsidR="00A80BA3" w:rsidRPr="00C643B7" w:rsidSect="00A644A9">
          <w:headerReference w:type="default" r:id="rId14"/>
          <w:pgSz w:w="21633" w:h="11906" w:orient="landscape"/>
          <w:pgMar w:top="1701" w:right="2071" w:bottom="850" w:left="1134" w:header="708" w:footer="708" w:gutter="0"/>
          <w:pgNumType w:start="1"/>
          <w:cols w:space="708"/>
          <w:titlePg/>
          <w:docGrid w:linePitch="360"/>
        </w:sectPr>
      </w:pPr>
    </w:p>
    <w:p w:rsidR="00E628B1" w:rsidRPr="00C643B7" w:rsidRDefault="00E628B1" w:rsidP="004646FD">
      <w:pPr>
        <w:spacing w:after="0" w:line="240" w:lineRule="auto"/>
        <w:ind w:firstLine="10490"/>
        <w:rPr>
          <w:rFonts w:ascii="Times New Roman" w:hAnsi="Times New Roman"/>
          <w:sz w:val="28"/>
          <w:szCs w:val="28"/>
        </w:rPr>
      </w:pPr>
      <w:r w:rsidRPr="00C643B7">
        <w:rPr>
          <w:rFonts w:ascii="Times New Roman" w:hAnsi="Times New Roman"/>
          <w:sz w:val="28"/>
          <w:szCs w:val="28"/>
        </w:rPr>
        <w:lastRenderedPageBreak/>
        <w:t>Додаток 3</w:t>
      </w:r>
    </w:p>
    <w:p w:rsidR="004A7C7C" w:rsidRPr="00C643B7" w:rsidRDefault="004A7C7C" w:rsidP="004646FD">
      <w:pPr>
        <w:keepNext/>
        <w:spacing w:after="0" w:line="240" w:lineRule="auto"/>
        <w:ind w:left="10490"/>
        <w:jc w:val="both"/>
        <w:outlineLvl w:val="2"/>
        <w:rPr>
          <w:rFonts w:ascii="Times New Roman" w:eastAsia="Times New Roman" w:hAnsi="Times New Roman"/>
          <w:b/>
          <w:bCs/>
          <w:color w:val="000000"/>
          <w:sz w:val="28"/>
          <w:szCs w:val="28"/>
          <w:lang w:eastAsia="uk-UA"/>
        </w:rPr>
      </w:pPr>
      <w:r w:rsidRPr="00C643B7">
        <w:rPr>
          <w:rFonts w:ascii="Times New Roman" w:hAnsi="Times New Roman"/>
          <w:sz w:val="28"/>
          <w:szCs w:val="28"/>
        </w:rPr>
        <w:t xml:space="preserve">до </w:t>
      </w:r>
      <w:r w:rsidRPr="00C643B7">
        <w:rPr>
          <w:rFonts w:ascii="Times New Roman" w:eastAsia="Times New Roman" w:hAnsi="Times New Roman"/>
          <w:bCs/>
          <w:color w:val="000000"/>
          <w:sz w:val="28"/>
          <w:szCs w:val="28"/>
          <w:lang w:eastAsia="uk-UA"/>
        </w:rPr>
        <w:t>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p>
    <w:p w:rsidR="00E628B1" w:rsidRPr="00C643B7" w:rsidRDefault="00E628B1" w:rsidP="004646FD">
      <w:pPr>
        <w:keepNext/>
        <w:spacing w:after="0" w:line="240" w:lineRule="auto"/>
        <w:ind w:left="10490"/>
        <w:jc w:val="both"/>
        <w:outlineLvl w:val="2"/>
        <w:rPr>
          <w:rFonts w:ascii="Times New Roman" w:hAnsi="Times New Roman"/>
          <w:sz w:val="28"/>
          <w:szCs w:val="28"/>
        </w:rPr>
      </w:pPr>
      <w:r w:rsidRPr="00C643B7">
        <w:rPr>
          <w:rFonts w:ascii="Times New Roman" w:hAnsi="Times New Roman"/>
          <w:sz w:val="28"/>
          <w:szCs w:val="28"/>
        </w:rPr>
        <w:t xml:space="preserve">(пункт </w:t>
      </w:r>
      <w:r w:rsidR="00E26C2F" w:rsidRPr="00C643B7">
        <w:rPr>
          <w:rFonts w:ascii="Times New Roman" w:hAnsi="Times New Roman"/>
          <w:sz w:val="28"/>
          <w:szCs w:val="28"/>
        </w:rPr>
        <w:t>9</w:t>
      </w:r>
      <w:r w:rsidR="002B0063" w:rsidRPr="00C643B7">
        <w:rPr>
          <w:rFonts w:ascii="Times New Roman" w:hAnsi="Times New Roman"/>
          <w:sz w:val="28"/>
          <w:szCs w:val="28"/>
        </w:rPr>
        <w:t xml:space="preserve"> </w:t>
      </w:r>
      <w:r w:rsidRPr="00C643B7">
        <w:rPr>
          <w:rFonts w:ascii="Times New Roman" w:hAnsi="Times New Roman"/>
          <w:sz w:val="28"/>
          <w:szCs w:val="28"/>
        </w:rPr>
        <w:t>розділу II)</w:t>
      </w:r>
    </w:p>
    <w:p w:rsidR="00AE2B7E" w:rsidRPr="00C643B7" w:rsidRDefault="00AE2B7E" w:rsidP="004646FD">
      <w:pPr>
        <w:keepNext/>
        <w:spacing w:after="0" w:line="240" w:lineRule="auto"/>
        <w:ind w:left="10490"/>
        <w:jc w:val="both"/>
        <w:outlineLvl w:val="2"/>
        <w:rPr>
          <w:rFonts w:ascii="Times New Roman" w:hAnsi="Times New Roman"/>
          <w:b/>
          <w:bCs/>
          <w:color w:val="000000"/>
          <w:sz w:val="28"/>
          <w:szCs w:val="28"/>
          <w:shd w:val="clear" w:color="auto" w:fill="FFFFFF"/>
        </w:rPr>
      </w:pPr>
    </w:p>
    <w:p w:rsidR="00E628B1" w:rsidRPr="00C643B7" w:rsidRDefault="00E628B1" w:rsidP="004646FD">
      <w:pPr>
        <w:spacing w:line="240" w:lineRule="auto"/>
        <w:jc w:val="center"/>
        <w:rPr>
          <w:rFonts w:ascii="Times New Roman" w:hAnsi="Times New Roman"/>
          <w:bCs/>
          <w:color w:val="000000"/>
          <w:sz w:val="28"/>
          <w:szCs w:val="28"/>
          <w:shd w:val="clear" w:color="auto" w:fill="FFFFFF"/>
        </w:rPr>
      </w:pPr>
      <w:r w:rsidRPr="00C643B7">
        <w:rPr>
          <w:rFonts w:ascii="Times New Roman" w:hAnsi="Times New Roman"/>
          <w:bCs/>
          <w:color w:val="000000"/>
          <w:sz w:val="28"/>
          <w:szCs w:val="28"/>
          <w:shd w:val="clear" w:color="auto" w:fill="FFFFFF"/>
        </w:rPr>
        <w:t xml:space="preserve">Критерії оцінки ступеню ризику фінансової компанії, </w:t>
      </w:r>
      <w:r w:rsidR="00AB2F11" w:rsidRPr="00C643B7">
        <w:rPr>
          <w:rFonts w:ascii="Times New Roman" w:hAnsi="Times New Roman"/>
          <w:bCs/>
          <w:color w:val="000000"/>
          <w:sz w:val="28"/>
          <w:szCs w:val="28"/>
          <w:shd w:val="clear" w:color="auto" w:fill="FFFFFF"/>
        </w:rPr>
        <w:t>юридичної особи, яка не є фінансовою установою, але має право надавати послуги з фінансового лізингу (л</w:t>
      </w:r>
      <w:r w:rsidRPr="00C643B7">
        <w:rPr>
          <w:rFonts w:ascii="Times New Roman" w:hAnsi="Times New Roman"/>
          <w:bCs/>
          <w:color w:val="000000"/>
          <w:sz w:val="28"/>
          <w:szCs w:val="28"/>
          <w:shd w:val="clear" w:color="auto" w:fill="FFFFFF"/>
        </w:rPr>
        <w:t>ізингодавця</w:t>
      </w:r>
      <w:r w:rsidR="00AB2F11" w:rsidRPr="00C643B7">
        <w:rPr>
          <w:rFonts w:ascii="Times New Roman" w:hAnsi="Times New Roman"/>
          <w:bCs/>
          <w:color w:val="000000"/>
          <w:sz w:val="28"/>
          <w:szCs w:val="28"/>
          <w:shd w:val="clear" w:color="auto" w:fill="FFFFFF"/>
        </w:rPr>
        <w:t>)</w:t>
      </w:r>
      <w:r w:rsidRPr="00C643B7">
        <w:rPr>
          <w:rFonts w:ascii="Times New Roman" w:hAnsi="Times New Roman"/>
          <w:bCs/>
          <w:color w:val="000000"/>
          <w:sz w:val="28"/>
          <w:szCs w:val="28"/>
          <w:shd w:val="clear" w:color="auto" w:fill="FFFFFF"/>
        </w:rPr>
        <w:t>, ломбарду</w:t>
      </w:r>
    </w:p>
    <w:tbl>
      <w:tblPr>
        <w:tblW w:w="1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88"/>
        <w:gridCol w:w="2410"/>
        <w:gridCol w:w="3686"/>
        <w:gridCol w:w="2835"/>
        <w:gridCol w:w="3231"/>
        <w:gridCol w:w="3969"/>
        <w:gridCol w:w="1843"/>
      </w:tblGrid>
      <w:tr w:rsidR="000C7A91" w:rsidRPr="00C643B7" w:rsidTr="000C7A91">
        <w:tc>
          <w:tcPr>
            <w:tcW w:w="846" w:type="dxa"/>
          </w:tcPr>
          <w:p w:rsidR="000C7A91" w:rsidRPr="00C643B7" w:rsidRDefault="00BB614B" w:rsidP="004646FD">
            <w:pPr>
              <w:spacing w:line="240" w:lineRule="auto"/>
              <w:jc w:val="center"/>
              <w:rPr>
                <w:rFonts w:ascii="Times New Roman" w:hAnsi="Times New Roman"/>
                <w:sz w:val="28"/>
                <w:szCs w:val="28"/>
              </w:rPr>
            </w:pPr>
            <w:r w:rsidRPr="00C643B7">
              <w:rPr>
                <w:rFonts w:ascii="Times New Roman" w:hAnsi="Times New Roman"/>
                <w:sz w:val="28"/>
                <w:szCs w:val="28"/>
              </w:rPr>
              <w:t>№</w:t>
            </w:r>
          </w:p>
          <w:p w:rsidR="00BB614B" w:rsidRPr="00C643B7" w:rsidRDefault="00BB614B" w:rsidP="004646FD">
            <w:pPr>
              <w:spacing w:line="240" w:lineRule="auto"/>
              <w:jc w:val="center"/>
              <w:rPr>
                <w:rFonts w:ascii="Times New Roman" w:hAnsi="Times New Roman"/>
                <w:sz w:val="28"/>
                <w:szCs w:val="28"/>
              </w:rPr>
            </w:pPr>
            <w:r w:rsidRPr="00C643B7">
              <w:rPr>
                <w:rFonts w:ascii="Times New Roman" w:hAnsi="Times New Roman"/>
                <w:sz w:val="28"/>
                <w:szCs w:val="28"/>
              </w:rPr>
              <w:t>з/п</w:t>
            </w:r>
          </w:p>
        </w:tc>
        <w:tc>
          <w:tcPr>
            <w:tcW w:w="788" w:type="dxa"/>
            <w:shd w:val="clear" w:color="auto" w:fill="auto"/>
          </w:tcPr>
          <w:p w:rsidR="00BB614B" w:rsidRPr="00C643B7" w:rsidRDefault="00BB614B" w:rsidP="004646FD">
            <w:pPr>
              <w:spacing w:line="240" w:lineRule="auto"/>
              <w:rPr>
                <w:rFonts w:ascii="Times New Roman" w:hAnsi="Times New Roman"/>
                <w:sz w:val="28"/>
                <w:szCs w:val="28"/>
              </w:rPr>
            </w:pPr>
            <w:r w:rsidRPr="00C643B7">
              <w:rPr>
                <w:rFonts w:ascii="Times New Roman" w:hAnsi="Times New Roman"/>
                <w:sz w:val="28"/>
                <w:szCs w:val="28"/>
              </w:rPr>
              <w:t>№</w:t>
            </w:r>
          </w:p>
          <w:p w:rsidR="000C7A91" w:rsidRPr="00C643B7" w:rsidRDefault="00BB614B" w:rsidP="004646FD">
            <w:pPr>
              <w:spacing w:line="240" w:lineRule="auto"/>
              <w:jc w:val="both"/>
              <w:rPr>
                <w:rFonts w:ascii="Times New Roman" w:hAnsi="Times New Roman"/>
                <w:color w:val="F2F2F2"/>
                <w:sz w:val="28"/>
                <w:szCs w:val="28"/>
              </w:rPr>
            </w:pPr>
            <w:r w:rsidRPr="00C643B7">
              <w:rPr>
                <w:rFonts w:ascii="Times New Roman" w:hAnsi="Times New Roman"/>
                <w:sz w:val="28"/>
                <w:szCs w:val="28"/>
              </w:rPr>
              <w:t>Критеріїв/показників</w:t>
            </w:r>
          </w:p>
        </w:tc>
        <w:tc>
          <w:tcPr>
            <w:tcW w:w="2410" w:type="dxa"/>
            <w:tcBorders>
              <w:bottom w:val="single" w:sz="4" w:space="0" w:color="auto"/>
            </w:tcBorders>
            <w:shd w:val="clear" w:color="auto" w:fill="auto"/>
          </w:tcPr>
          <w:p w:rsidR="004C72FC" w:rsidRPr="00C643B7" w:rsidRDefault="004C72FC" w:rsidP="004646FD">
            <w:pPr>
              <w:spacing w:line="240" w:lineRule="auto"/>
              <w:rPr>
                <w:rFonts w:ascii="Times New Roman" w:hAnsi="Times New Roman"/>
                <w:sz w:val="28"/>
                <w:szCs w:val="28"/>
              </w:rPr>
            </w:pPr>
          </w:p>
          <w:p w:rsidR="000C7A91" w:rsidRPr="00C643B7" w:rsidRDefault="000C7A91" w:rsidP="004646FD">
            <w:pPr>
              <w:spacing w:line="240" w:lineRule="auto"/>
              <w:rPr>
                <w:rFonts w:ascii="Times New Roman" w:hAnsi="Times New Roman"/>
                <w:color w:val="F2F2F2"/>
                <w:sz w:val="28"/>
                <w:szCs w:val="28"/>
              </w:rPr>
            </w:pPr>
            <w:r w:rsidRPr="00C643B7">
              <w:rPr>
                <w:rFonts w:ascii="Times New Roman" w:hAnsi="Times New Roman"/>
                <w:sz w:val="28"/>
                <w:szCs w:val="28"/>
              </w:rPr>
              <w:t>Назви критеріїв та їх показників</w:t>
            </w:r>
          </w:p>
        </w:tc>
        <w:tc>
          <w:tcPr>
            <w:tcW w:w="3686" w:type="dxa"/>
            <w:tcBorders>
              <w:bottom w:val="single" w:sz="4" w:space="0" w:color="auto"/>
            </w:tcBorders>
            <w:shd w:val="clear" w:color="auto" w:fill="auto"/>
          </w:tcPr>
          <w:p w:rsidR="004C72FC" w:rsidRPr="00C643B7" w:rsidRDefault="004C72FC" w:rsidP="004646FD">
            <w:pPr>
              <w:spacing w:line="240" w:lineRule="auto"/>
              <w:jc w:val="center"/>
              <w:rPr>
                <w:rFonts w:ascii="Times New Roman" w:hAnsi="Times New Roman"/>
                <w:bCs/>
                <w:sz w:val="28"/>
                <w:szCs w:val="28"/>
              </w:rPr>
            </w:pPr>
          </w:p>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“1” </w:t>
            </w:r>
          </w:p>
          <w:p w:rsidR="000C7A91" w:rsidRPr="00C643B7" w:rsidRDefault="000C7A91" w:rsidP="004646FD">
            <w:pPr>
              <w:spacing w:line="240" w:lineRule="auto"/>
              <w:jc w:val="center"/>
              <w:rPr>
                <w:rFonts w:ascii="Times New Roman" w:hAnsi="Times New Roman"/>
                <w:bCs/>
                <w:color w:val="FFFF00"/>
                <w:sz w:val="28"/>
                <w:szCs w:val="28"/>
              </w:rPr>
            </w:pPr>
            <w:r w:rsidRPr="00C643B7">
              <w:rPr>
                <w:rFonts w:ascii="Times New Roman" w:hAnsi="Times New Roman"/>
                <w:bCs/>
                <w:sz w:val="28"/>
                <w:szCs w:val="28"/>
              </w:rPr>
              <w:t>(низький ступінь ризику)</w:t>
            </w:r>
          </w:p>
        </w:tc>
        <w:tc>
          <w:tcPr>
            <w:tcW w:w="2835" w:type="dxa"/>
            <w:tcBorders>
              <w:bottom w:val="single" w:sz="4" w:space="0" w:color="auto"/>
            </w:tcBorders>
            <w:shd w:val="clear" w:color="auto" w:fill="auto"/>
          </w:tcPr>
          <w:p w:rsidR="004C72FC" w:rsidRPr="00C643B7" w:rsidRDefault="004C72FC" w:rsidP="004646FD">
            <w:pPr>
              <w:spacing w:line="240" w:lineRule="auto"/>
              <w:jc w:val="center"/>
              <w:rPr>
                <w:rFonts w:ascii="Times New Roman" w:hAnsi="Times New Roman"/>
                <w:bCs/>
                <w:sz w:val="28"/>
                <w:szCs w:val="28"/>
              </w:rPr>
            </w:pPr>
          </w:p>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“2”</w:t>
            </w:r>
          </w:p>
          <w:p w:rsidR="000C7A91" w:rsidRPr="00C643B7" w:rsidRDefault="000C7A91" w:rsidP="004646FD">
            <w:pPr>
              <w:spacing w:line="240" w:lineRule="auto"/>
              <w:jc w:val="center"/>
              <w:rPr>
                <w:rFonts w:ascii="Times New Roman" w:hAnsi="Times New Roman"/>
                <w:bCs/>
                <w:color w:val="FFFF00"/>
                <w:sz w:val="28"/>
                <w:szCs w:val="28"/>
              </w:rPr>
            </w:pPr>
            <w:r w:rsidRPr="00C643B7">
              <w:rPr>
                <w:rFonts w:ascii="Times New Roman" w:hAnsi="Times New Roman"/>
                <w:bCs/>
                <w:sz w:val="28"/>
                <w:szCs w:val="28"/>
              </w:rPr>
              <w:t>(середній ступінь ризику)</w:t>
            </w:r>
          </w:p>
        </w:tc>
        <w:tc>
          <w:tcPr>
            <w:tcW w:w="3231" w:type="dxa"/>
            <w:tcBorders>
              <w:bottom w:val="single" w:sz="4" w:space="0" w:color="auto"/>
            </w:tcBorders>
            <w:shd w:val="clear" w:color="auto" w:fill="auto"/>
          </w:tcPr>
          <w:p w:rsidR="004C72FC" w:rsidRPr="00C643B7" w:rsidRDefault="004C72FC" w:rsidP="004646FD">
            <w:pPr>
              <w:spacing w:line="240" w:lineRule="auto"/>
              <w:jc w:val="center"/>
              <w:rPr>
                <w:rFonts w:ascii="Times New Roman" w:hAnsi="Times New Roman"/>
                <w:bCs/>
                <w:sz w:val="28"/>
                <w:szCs w:val="28"/>
              </w:rPr>
            </w:pPr>
          </w:p>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“3”</w:t>
            </w:r>
          </w:p>
          <w:p w:rsidR="000C7A91" w:rsidRPr="00C643B7" w:rsidRDefault="000C7A91" w:rsidP="004646FD">
            <w:pPr>
              <w:spacing w:line="240" w:lineRule="auto"/>
              <w:jc w:val="center"/>
              <w:rPr>
                <w:rFonts w:ascii="Times New Roman" w:hAnsi="Times New Roman"/>
                <w:bCs/>
                <w:color w:val="FFFF00"/>
                <w:sz w:val="28"/>
                <w:szCs w:val="28"/>
              </w:rPr>
            </w:pPr>
            <w:r w:rsidRPr="00C643B7">
              <w:rPr>
                <w:rFonts w:ascii="Times New Roman" w:hAnsi="Times New Roman"/>
                <w:bCs/>
                <w:sz w:val="28"/>
                <w:szCs w:val="28"/>
              </w:rPr>
              <w:t>(високий ступінь ризику)</w:t>
            </w:r>
          </w:p>
        </w:tc>
        <w:tc>
          <w:tcPr>
            <w:tcW w:w="3969" w:type="dxa"/>
            <w:tcBorders>
              <w:bottom w:val="single" w:sz="4" w:space="0" w:color="auto"/>
            </w:tcBorders>
            <w:shd w:val="clear" w:color="auto" w:fill="auto"/>
          </w:tcPr>
          <w:p w:rsidR="004C72FC" w:rsidRPr="00C643B7" w:rsidRDefault="004C72FC" w:rsidP="004646FD">
            <w:pPr>
              <w:spacing w:line="240" w:lineRule="auto"/>
              <w:jc w:val="center"/>
              <w:rPr>
                <w:rFonts w:ascii="Times New Roman" w:hAnsi="Times New Roman"/>
                <w:bCs/>
                <w:sz w:val="28"/>
                <w:szCs w:val="28"/>
              </w:rPr>
            </w:pPr>
          </w:p>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“4” </w:t>
            </w:r>
          </w:p>
          <w:p w:rsidR="000C7A91" w:rsidRPr="00C643B7" w:rsidRDefault="000C7A91" w:rsidP="004646FD">
            <w:pPr>
              <w:spacing w:line="240" w:lineRule="auto"/>
              <w:jc w:val="center"/>
              <w:rPr>
                <w:rFonts w:ascii="Times New Roman" w:hAnsi="Times New Roman"/>
                <w:bCs/>
                <w:color w:val="FFFF00"/>
                <w:sz w:val="28"/>
                <w:szCs w:val="28"/>
              </w:rPr>
            </w:pPr>
            <w:r w:rsidRPr="00C643B7">
              <w:rPr>
                <w:rFonts w:ascii="Times New Roman" w:hAnsi="Times New Roman"/>
                <w:bCs/>
                <w:sz w:val="28"/>
                <w:szCs w:val="28"/>
              </w:rPr>
              <w:t>(критичний ступінь ризику)</w:t>
            </w:r>
          </w:p>
        </w:tc>
        <w:tc>
          <w:tcPr>
            <w:tcW w:w="1843" w:type="dxa"/>
            <w:tcBorders>
              <w:bottom w:val="single" w:sz="4" w:space="0" w:color="auto"/>
            </w:tcBorders>
            <w:shd w:val="clear" w:color="auto" w:fill="auto"/>
          </w:tcPr>
          <w:p w:rsidR="000C7A91" w:rsidRPr="00C643B7" w:rsidRDefault="000C7A91" w:rsidP="004646FD">
            <w:pPr>
              <w:spacing w:line="240" w:lineRule="auto"/>
              <w:jc w:val="center"/>
              <w:rPr>
                <w:rFonts w:ascii="Times New Roman" w:hAnsi="Times New Roman"/>
                <w:bCs/>
                <w:color w:val="F2F2F2"/>
                <w:sz w:val="28"/>
                <w:szCs w:val="28"/>
              </w:rPr>
            </w:pPr>
            <w:r w:rsidRPr="00C643B7">
              <w:rPr>
                <w:rFonts w:ascii="Times New Roman" w:hAnsi="Times New Roman"/>
                <w:bCs/>
                <w:sz w:val="28"/>
                <w:szCs w:val="28"/>
              </w:rPr>
              <w:t>Вага критерію в ступені ризику/ Вага показника в критерії, %</w:t>
            </w:r>
          </w:p>
        </w:tc>
      </w:tr>
    </w:tbl>
    <w:p w:rsidR="00A80BA3" w:rsidRPr="00C643B7" w:rsidRDefault="00A80BA3" w:rsidP="004646FD">
      <w:pPr>
        <w:spacing w:after="0" w:line="240" w:lineRule="auto"/>
        <w:rPr>
          <w:sz w:val="2"/>
        </w:rPr>
      </w:pPr>
    </w:p>
    <w:tbl>
      <w:tblPr>
        <w:tblW w:w="1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88"/>
        <w:gridCol w:w="2410"/>
        <w:gridCol w:w="3686"/>
        <w:gridCol w:w="2835"/>
        <w:gridCol w:w="3231"/>
        <w:gridCol w:w="3969"/>
        <w:gridCol w:w="1843"/>
      </w:tblGrid>
      <w:tr w:rsidR="000C7A91" w:rsidRPr="00C643B7" w:rsidTr="00F37248">
        <w:trPr>
          <w:tblHeader/>
        </w:trPr>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788" w:type="dxa"/>
            <w:shd w:val="clear" w:color="auto" w:fill="auto"/>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c>
          <w:tcPr>
            <w:tcW w:w="2410" w:type="dxa"/>
            <w:tcBorders>
              <w:bottom w:val="single" w:sz="4" w:space="0" w:color="auto"/>
            </w:tcBorders>
            <w:shd w:val="clear" w:color="auto" w:fill="auto"/>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3686" w:type="dxa"/>
            <w:tcBorders>
              <w:bottom w:val="single" w:sz="4" w:space="0" w:color="auto"/>
            </w:tcBorders>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4</w:t>
            </w:r>
          </w:p>
        </w:tc>
        <w:tc>
          <w:tcPr>
            <w:tcW w:w="2835" w:type="dxa"/>
            <w:tcBorders>
              <w:bottom w:val="single" w:sz="4" w:space="0" w:color="auto"/>
            </w:tcBorders>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5</w:t>
            </w:r>
          </w:p>
        </w:tc>
        <w:tc>
          <w:tcPr>
            <w:tcW w:w="3231" w:type="dxa"/>
            <w:tcBorders>
              <w:bottom w:val="single" w:sz="4" w:space="0" w:color="auto"/>
            </w:tcBorders>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6</w:t>
            </w:r>
          </w:p>
        </w:tc>
        <w:tc>
          <w:tcPr>
            <w:tcW w:w="3969" w:type="dxa"/>
            <w:tcBorders>
              <w:bottom w:val="single" w:sz="4" w:space="0" w:color="auto"/>
            </w:tcBorders>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7</w:t>
            </w:r>
          </w:p>
        </w:tc>
        <w:tc>
          <w:tcPr>
            <w:tcW w:w="1843" w:type="dxa"/>
            <w:tcBorders>
              <w:bottom w:val="single" w:sz="4" w:space="0" w:color="auto"/>
            </w:tcBorders>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8</w:t>
            </w:r>
          </w:p>
        </w:tc>
      </w:tr>
      <w:tr w:rsidR="000C7A91" w:rsidRPr="00C643B7" w:rsidTr="000C7A91">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788"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c>
          <w:tcPr>
            <w:tcW w:w="16131" w:type="dxa"/>
            <w:gridSpan w:val="5"/>
          </w:tcPr>
          <w:p w:rsidR="000C7A91" w:rsidRPr="00C643B7" w:rsidRDefault="000C7A91" w:rsidP="004646FD">
            <w:pPr>
              <w:spacing w:line="240" w:lineRule="auto"/>
              <w:rPr>
                <w:rFonts w:ascii="Times New Roman" w:hAnsi="Times New Roman"/>
                <w:bCs/>
                <w:sz w:val="28"/>
                <w:szCs w:val="28"/>
              </w:rPr>
            </w:pPr>
            <w:r w:rsidRPr="00C643B7">
              <w:rPr>
                <w:rFonts w:ascii="Times New Roman" w:hAnsi="Times New Roman"/>
                <w:sz w:val="28"/>
                <w:szCs w:val="28"/>
              </w:rPr>
              <w:t>Стан корпоративного управління, управління ризиками та внутрішнього контролю</w:t>
            </w:r>
          </w:p>
        </w:tc>
        <w:tc>
          <w:tcPr>
            <w:tcW w:w="1843" w:type="dxa"/>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75</w:t>
            </w:r>
          </w:p>
        </w:tc>
      </w:tr>
      <w:tr w:rsidR="000C7A91" w:rsidRPr="00C643B7" w:rsidTr="000C7A91">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c>
          <w:tcPr>
            <w:tcW w:w="788" w:type="dxa"/>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 xml:space="preserve">1.1 </w:t>
            </w:r>
          </w:p>
        </w:tc>
        <w:tc>
          <w:tcPr>
            <w:tcW w:w="2410" w:type="dxa"/>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Виконання заходів впливу</w:t>
            </w:r>
          </w:p>
          <w:p w:rsidR="000C7A91" w:rsidRPr="00C643B7" w:rsidRDefault="000C7A91" w:rsidP="004646FD">
            <w:pPr>
              <w:spacing w:line="240" w:lineRule="auto"/>
              <w:jc w:val="center"/>
              <w:rPr>
                <w:rFonts w:ascii="Times New Roman" w:hAnsi="Times New Roman"/>
                <w:sz w:val="28"/>
                <w:szCs w:val="28"/>
              </w:rPr>
            </w:pPr>
          </w:p>
        </w:tc>
        <w:tc>
          <w:tcPr>
            <w:tcW w:w="3686" w:type="dxa"/>
          </w:tcPr>
          <w:p w:rsidR="000C7A91" w:rsidRPr="00C643B7" w:rsidRDefault="000C7A91" w:rsidP="004646FD">
            <w:pPr>
              <w:spacing w:line="240" w:lineRule="auto"/>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Протягом періоду оцінки до учасника не застосовувалися заходи впливу.</w:t>
            </w:r>
          </w:p>
          <w:p w:rsidR="000C7A91" w:rsidRPr="00C643B7" w:rsidRDefault="000C7A91" w:rsidP="004646FD">
            <w:pPr>
              <w:spacing w:line="240" w:lineRule="auto"/>
              <w:rPr>
                <w:rFonts w:ascii="Times New Roman" w:hAnsi="Times New Roman"/>
                <w:bCs/>
                <w:sz w:val="28"/>
                <w:szCs w:val="28"/>
              </w:rPr>
            </w:pPr>
          </w:p>
        </w:tc>
        <w:tc>
          <w:tcPr>
            <w:tcW w:w="2835" w:type="dxa"/>
          </w:tcPr>
          <w:p w:rsidR="000C7A91" w:rsidRPr="00C643B7" w:rsidRDefault="000C7A91" w:rsidP="004646FD">
            <w:pPr>
              <w:spacing w:line="240" w:lineRule="auto"/>
              <w:jc w:val="both"/>
              <w:rPr>
                <w:rFonts w:ascii="Times New Roman" w:hAnsi="Times New Roman"/>
                <w:bCs/>
                <w:sz w:val="28"/>
                <w:szCs w:val="28"/>
              </w:rPr>
            </w:pPr>
            <w:r w:rsidRPr="00C643B7">
              <w:rPr>
                <w:rFonts w:ascii="Times New Roman" w:eastAsia="Times New Roman" w:hAnsi="Times New Roman"/>
                <w:sz w:val="28"/>
                <w:szCs w:val="28"/>
                <w:shd w:val="clear" w:color="auto" w:fill="FFFFFF"/>
                <w:lang w:eastAsia="ru-RU"/>
              </w:rPr>
              <w:t>Протягом періоду оцінки до учасника було застосовано один захід впливу, який станом на дату проведення оцінки був виконаний.</w:t>
            </w:r>
          </w:p>
        </w:tc>
        <w:tc>
          <w:tcPr>
            <w:tcW w:w="3231" w:type="dxa"/>
          </w:tcPr>
          <w:p w:rsidR="000C7A91" w:rsidRPr="00C643B7" w:rsidRDefault="000C7A91" w:rsidP="004646FD">
            <w:pPr>
              <w:spacing w:line="240" w:lineRule="auto"/>
              <w:jc w:val="both"/>
              <w:rPr>
                <w:rFonts w:ascii="Times New Roman" w:hAnsi="Times New Roman"/>
                <w:bCs/>
                <w:sz w:val="28"/>
                <w:szCs w:val="28"/>
              </w:rPr>
            </w:pPr>
            <w:r w:rsidRPr="00C643B7">
              <w:rPr>
                <w:rFonts w:ascii="Times New Roman" w:eastAsia="Times New Roman" w:hAnsi="Times New Roman"/>
                <w:sz w:val="28"/>
                <w:szCs w:val="28"/>
                <w:shd w:val="clear" w:color="auto" w:fill="FFFFFF"/>
                <w:lang w:eastAsia="ru-RU"/>
              </w:rPr>
              <w:t>Протягом періоду оцінки до учасника</w:t>
            </w:r>
            <w:r w:rsidRPr="00C643B7" w:rsidDel="007D6C8B">
              <w:rPr>
                <w:rFonts w:ascii="Times New Roman" w:eastAsia="Times New Roman" w:hAnsi="Times New Roman"/>
                <w:sz w:val="28"/>
                <w:szCs w:val="28"/>
                <w:shd w:val="clear" w:color="auto" w:fill="FFFFFF"/>
                <w:lang w:eastAsia="ru-RU"/>
              </w:rPr>
              <w:t xml:space="preserve"> </w:t>
            </w:r>
            <w:r w:rsidRPr="00C643B7">
              <w:rPr>
                <w:rFonts w:ascii="Times New Roman" w:eastAsia="Times New Roman" w:hAnsi="Times New Roman"/>
                <w:sz w:val="28"/>
                <w:szCs w:val="28"/>
                <w:shd w:val="clear" w:color="auto" w:fill="FFFFFF"/>
                <w:lang w:eastAsia="ru-RU"/>
              </w:rPr>
              <w:t xml:space="preserve">було застосовано </w:t>
            </w:r>
            <w:r w:rsidR="00EE5557" w:rsidRPr="00C643B7">
              <w:rPr>
                <w:rFonts w:ascii="Times New Roman" w:eastAsia="Times New Roman" w:hAnsi="Times New Roman"/>
                <w:sz w:val="28"/>
                <w:szCs w:val="28"/>
                <w:shd w:val="clear" w:color="auto" w:fill="FFFFFF"/>
                <w:lang w:eastAsia="ru-RU"/>
              </w:rPr>
              <w:t>два і більше</w:t>
            </w:r>
            <w:r w:rsidRPr="00C643B7">
              <w:rPr>
                <w:rFonts w:ascii="Times New Roman" w:eastAsia="Times New Roman" w:hAnsi="Times New Roman"/>
                <w:sz w:val="28"/>
                <w:szCs w:val="28"/>
                <w:shd w:val="clear" w:color="auto" w:fill="FFFFFF"/>
                <w:lang w:eastAsia="ru-RU"/>
              </w:rPr>
              <w:t xml:space="preserve"> заход</w:t>
            </w:r>
            <w:r w:rsidR="00EE5557" w:rsidRPr="00C643B7">
              <w:rPr>
                <w:rFonts w:ascii="Times New Roman" w:eastAsia="Times New Roman" w:hAnsi="Times New Roman"/>
                <w:sz w:val="28"/>
                <w:szCs w:val="28"/>
                <w:shd w:val="clear" w:color="auto" w:fill="FFFFFF"/>
                <w:lang w:eastAsia="ru-RU"/>
              </w:rPr>
              <w:t>ів</w:t>
            </w:r>
            <w:r w:rsidRPr="00C643B7">
              <w:rPr>
                <w:rFonts w:ascii="Times New Roman" w:eastAsia="Times New Roman" w:hAnsi="Times New Roman"/>
                <w:sz w:val="28"/>
                <w:szCs w:val="28"/>
                <w:shd w:val="clear" w:color="auto" w:fill="FFFFFF"/>
                <w:lang w:eastAsia="ru-RU"/>
              </w:rPr>
              <w:t xml:space="preserve"> впливу, як</w:t>
            </w:r>
            <w:r w:rsidR="00EE5557" w:rsidRPr="00C643B7">
              <w:rPr>
                <w:rFonts w:ascii="Times New Roman" w:eastAsia="Times New Roman" w:hAnsi="Times New Roman"/>
                <w:sz w:val="28"/>
                <w:szCs w:val="28"/>
                <w:shd w:val="clear" w:color="auto" w:fill="FFFFFF"/>
                <w:lang w:eastAsia="ru-RU"/>
              </w:rPr>
              <w:t>і</w:t>
            </w:r>
            <w:r w:rsidRPr="00C643B7">
              <w:rPr>
                <w:rFonts w:ascii="Times New Roman" w:eastAsia="Times New Roman" w:hAnsi="Times New Roman"/>
                <w:sz w:val="28"/>
                <w:szCs w:val="28"/>
                <w:shd w:val="clear" w:color="auto" w:fill="FFFFFF"/>
                <w:lang w:eastAsia="ru-RU"/>
              </w:rPr>
              <w:t xml:space="preserve"> стан</w:t>
            </w:r>
            <w:r w:rsidR="00EE5557" w:rsidRPr="00C643B7">
              <w:rPr>
                <w:rFonts w:ascii="Times New Roman" w:eastAsia="Times New Roman" w:hAnsi="Times New Roman"/>
                <w:sz w:val="28"/>
                <w:szCs w:val="28"/>
                <w:shd w:val="clear" w:color="auto" w:fill="FFFFFF"/>
                <w:lang w:eastAsia="ru-RU"/>
              </w:rPr>
              <w:t xml:space="preserve">ом на дату проведення оцінки були </w:t>
            </w:r>
            <w:r w:rsidRPr="00C643B7">
              <w:rPr>
                <w:rFonts w:ascii="Times New Roman" w:eastAsia="Times New Roman" w:hAnsi="Times New Roman"/>
                <w:sz w:val="28"/>
                <w:szCs w:val="28"/>
                <w:shd w:val="clear" w:color="auto" w:fill="FFFFFF"/>
                <w:lang w:eastAsia="ru-RU"/>
              </w:rPr>
              <w:t>виконан</w:t>
            </w:r>
            <w:r w:rsidR="00EE5557" w:rsidRPr="00C643B7">
              <w:rPr>
                <w:rFonts w:ascii="Times New Roman" w:eastAsia="Times New Roman" w:hAnsi="Times New Roman"/>
                <w:sz w:val="28"/>
                <w:szCs w:val="28"/>
                <w:shd w:val="clear" w:color="auto" w:fill="FFFFFF"/>
                <w:lang w:eastAsia="ru-RU"/>
              </w:rPr>
              <w:t>і</w:t>
            </w:r>
            <w:r w:rsidRPr="00C643B7">
              <w:rPr>
                <w:rFonts w:ascii="Times New Roman" w:eastAsia="Times New Roman" w:hAnsi="Times New Roman"/>
                <w:sz w:val="28"/>
                <w:szCs w:val="28"/>
                <w:shd w:val="clear" w:color="auto" w:fill="FFFFFF"/>
                <w:lang w:eastAsia="ru-RU"/>
              </w:rPr>
              <w:t>.</w:t>
            </w:r>
          </w:p>
        </w:tc>
        <w:tc>
          <w:tcPr>
            <w:tcW w:w="3969" w:type="dxa"/>
          </w:tcPr>
          <w:p w:rsidR="000C7A91" w:rsidRPr="00C643B7" w:rsidRDefault="000C7A91" w:rsidP="004646FD">
            <w:pPr>
              <w:spacing w:line="240" w:lineRule="auto"/>
              <w:jc w:val="both"/>
              <w:rPr>
                <w:rFonts w:ascii="Times New Roman" w:hAnsi="Times New Roman"/>
                <w:bCs/>
                <w:sz w:val="28"/>
                <w:szCs w:val="28"/>
              </w:rPr>
            </w:pPr>
            <w:r w:rsidRPr="00C643B7">
              <w:rPr>
                <w:rFonts w:ascii="Times New Roman" w:eastAsia="Times New Roman" w:hAnsi="Times New Roman"/>
                <w:sz w:val="28"/>
                <w:szCs w:val="28"/>
                <w:shd w:val="clear" w:color="auto" w:fill="FFFFFF"/>
                <w:lang w:eastAsia="ru-RU"/>
              </w:rPr>
              <w:t>Протягом періоду оцінки до учасника</w:t>
            </w:r>
            <w:r w:rsidRPr="00C643B7" w:rsidDel="007D6C8B">
              <w:rPr>
                <w:rFonts w:ascii="Times New Roman" w:eastAsia="Times New Roman" w:hAnsi="Times New Roman"/>
                <w:sz w:val="28"/>
                <w:szCs w:val="28"/>
                <w:shd w:val="clear" w:color="auto" w:fill="FFFFFF"/>
                <w:lang w:eastAsia="ru-RU"/>
              </w:rPr>
              <w:t xml:space="preserve"> </w:t>
            </w:r>
            <w:r w:rsidRPr="00C643B7">
              <w:rPr>
                <w:rFonts w:ascii="Times New Roman" w:eastAsia="Times New Roman" w:hAnsi="Times New Roman"/>
                <w:sz w:val="28"/>
                <w:szCs w:val="28"/>
                <w:shd w:val="clear" w:color="auto" w:fill="FFFFFF"/>
                <w:lang w:eastAsia="ru-RU"/>
              </w:rPr>
              <w:t>застосовано один (або більше) захід впливу, який станом на дату проведення оцінки не був виконаний у встановлений строк.</w:t>
            </w:r>
          </w:p>
        </w:tc>
        <w:tc>
          <w:tcPr>
            <w:tcW w:w="1843" w:type="dxa"/>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25</w:t>
            </w:r>
          </w:p>
        </w:tc>
      </w:tr>
      <w:tr w:rsidR="000C7A91" w:rsidRPr="00C643B7" w:rsidTr="000C7A91">
        <w:trPr>
          <w:trHeight w:val="1833"/>
        </w:trPr>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lastRenderedPageBreak/>
              <w:t>3</w:t>
            </w:r>
          </w:p>
        </w:tc>
        <w:tc>
          <w:tcPr>
            <w:tcW w:w="788" w:type="dxa"/>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1.2</w:t>
            </w:r>
          </w:p>
        </w:tc>
        <w:tc>
          <w:tcPr>
            <w:tcW w:w="2410" w:type="dxa"/>
          </w:tcPr>
          <w:p w:rsidR="000C7A91" w:rsidRPr="00C643B7" w:rsidRDefault="000C7A91" w:rsidP="004646FD">
            <w:pPr>
              <w:spacing w:line="240" w:lineRule="auto"/>
              <w:jc w:val="both"/>
              <w:rPr>
                <w:rFonts w:ascii="Times New Roman" w:hAnsi="Times New Roman"/>
                <w:color w:val="FF0000"/>
                <w:sz w:val="28"/>
                <w:szCs w:val="28"/>
              </w:rPr>
            </w:pPr>
            <w:r w:rsidRPr="00C643B7">
              <w:rPr>
                <w:rFonts w:ascii="Times New Roman" w:hAnsi="Times New Roman"/>
                <w:color w:val="000000"/>
                <w:sz w:val="28"/>
                <w:szCs w:val="28"/>
              </w:rPr>
              <w:t>Подання звітності та інших обов’язкових документів</w:t>
            </w:r>
          </w:p>
        </w:tc>
        <w:tc>
          <w:tcPr>
            <w:tcW w:w="3686" w:type="dxa"/>
          </w:tcPr>
          <w:p w:rsidR="000C7A91" w:rsidRPr="00C643B7" w:rsidRDefault="000C7A91" w:rsidP="004646FD">
            <w:pPr>
              <w:spacing w:line="240" w:lineRule="auto"/>
              <w:jc w:val="both"/>
              <w:rPr>
                <w:rFonts w:ascii="Times New Roman" w:hAnsi="Times New Roman"/>
                <w:color w:val="FF0000"/>
                <w:sz w:val="28"/>
                <w:szCs w:val="28"/>
              </w:rPr>
            </w:pPr>
            <w:r w:rsidRPr="00C643B7">
              <w:rPr>
                <w:rFonts w:ascii="Times New Roman" w:hAnsi="Times New Roman"/>
                <w:sz w:val="28"/>
                <w:szCs w:val="28"/>
              </w:rPr>
              <w:t>Протягом періоду оцінки фінансова звітність та/або інші звітні дані, передбачені до подання на періодичній основі, подавалася Національному банку вчасно та в повному обсязі.</w:t>
            </w:r>
          </w:p>
        </w:tc>
        <w:tc>
          <w:tcPr>
            <w:tcW w:w="2835" w:type="dxa"/>
          </w:tcPr>
          <w:p w:rsidR="000C7A91" w:rsidRPr="00C643B7" w:rsidRDefault="000C7A91" w:rsidP="004646FD">
            <w:pPr>
              <w:spacing w:line="240" w:lineRule="auto"/>
              <w:jc w:val="both"/>
              <w:rPr>
                <w:rFonts w:ascii="Times New Roman" w:hAnsi="Times New Roman"/>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зафіксовано один факт несвоєчасного подання Національному банку фінансової звітності та/або інших звітних даних, передбачених до подання на періодичній основі </w:t>
            </w:r>
          </w:p>
        </w:tc>
        <w:tc>
          <w:tcPr>
            <w:tcW w:w="3231" w:type="dxa"/>
          </w:tcPr>
          <w:p w:rsidR="000C7A91" w:rsidRPr="00C643B7" w:rsidRDefault="000C7A91"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зафіксовано два або більше  фактів несвоєчасного подання Національному банку фінансової звітності та/або інших звітних даних, передбачених до подання на періодичній основі</w:t>
            </w:r>
          </w:p>
        </w:tc>
        <w:tc>
          <w:tcPr>
            <w:tcW w:w="3969" w:type="dxa"/>
          </w:tcPr>
          <w:p w:rsidR="000C7A91" w:rsidRPr="00C643B7" w:rsidRDefault="000C7A91" w:rsidP="004646FD">
            <w:pPr>
              <w:spacing w:line="240" w:lineRule="auto"/>
              <w:jc w:val="both"/>
              <w:rPr>
                <w:rFonts w:ascii="Times New Roman" w:hAnsi="Times New Roman"/>
                <w:color w:val="FF0000"/>
                <w:sz w:val="28"/>
                <w:szCs w:val="28"/>
              </w:rPr>
            </w:pPr>
            <w:r w:rsidRPr="00C643B7">
              <w:rPr>
                <w:rFonts w:ascii="Times New Roman" w:eastAsia="Times New Roman" w:hAnsi="Times New Roman"/>
                <w:sz w:val="28"/>
                <w:szCs w:val="28"/>
                <w:shd w:val="clear" w:color="auto" w:fill="FFFFFF"/>
                <w:lang w:eastAsia="ru-RU"/>
              </w:rPr>
              <w:t>Протягом періоду оцінки</w:t>
            </w:r>
            <w:r w:rsidRPr="00C643B7">
              <w:rPr>
                <w:rFonts w:ascii="Times New Roman" w:hAnsi="Times New Roman"/>
                <w:sz w:val="28"/>
                <w:szCs w:val="28"/>
              </w:rPr>
              <w:t xml:space="preserve"> зафіксовано принаймні один факт неподання Національному банку фінансової звітності та/або інших звітних даних, передбачених до подання на періодичній основі</w:t>
            </w:r>
          </w:p>
        </w:tc>
        <w:tc>
          <w:tcPr>
            <w:tcW w:w="1843"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5</w:t>
            </w:r>
          </w:p>
        </w:tc>
      </w:tr>
      <w:tr w:rsidR="000C7A91" w:rsidRPr="00C643B7" w:rsidTr="006E3523">
        <w:trPr>
          <w:trHeight w:val="680"/>
        </w:trPr>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4</w:t>
            </w:r>
          </w:p>
        </w:tc>
        <w:tc>
          <w:tcPr>
            <w:tcW w:w="788" w:type="dxa"/>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1.3</w:t>
            </w:r>
          </w:p>
        </w:tc>
        <w:tc>
          <w:tcPr>
            <w:tcW w:w="2410" w:type="dxa"/>
            <w:tcBorders>
              <w:bottom w:val="single" w:sz="4" w:space="0" w:color="auto"/>
            </w:tcBorders>
          </w:tcPr>
          <w:p w:rsidR="000C7A91" w:rsidRPr="00C643B7" w:rsidRDefault="000C7A91" w:rsidP="004646FD">
            <w:pPr>
              <w:spacing w:line="240" w:lineRule="auto"/>
              <w:jc w:val="both"/>
              <w:rPr>
                <w:rFonts w:ascii="Times New Roman" w:hAnsi="Times New Roman"/>
                <w:sz w:val="28"/>
                <w:szCs w:val="28"/>
              </w:rPr>
            </w:pPr>
            <w:r w:rsidRPr="00C643B7">
              <w:rPr>
                <w:rFonts w:ascii="Times New Roman" w:hAnsi="Times New Roman"/>
                <w:sz w:val="28"/>
                <w:szCs w:val="28"/>
              </w:rPr>
              <w:t>Результати зовнішнього аудиту</w:t>
            </w:r>
          </w:p>
        </w:tc>
        <w:tc>
          <w:tcPr>
            <w:tcW w:w="3686" w:type="dxa"/>
            <w:tcBorders>
              <w:bottom w:val="single" w:sz="4" w:space="0" w:color="auto"/>
            </w:tcBorders>
          </w:tcPr>
          <w:p w:rsidR="000C7A91" w:rsidRPr="00C643B7" w:rsidRDefault="000C7A91"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sz w:val="28"/>
                <w:szCs w:val="28"/>
              </w:rPr>
              <w:t>Немає вимоги щодо проведення зовнішнього аудиту / Не модифікована думка</w:t>
            </w:r>
            <w:r w:rsidR="00D6341E" w:rsidRPr="00C643B7">
              <w:rPr>
                <w:rFonts w:ascii="Times New Roman" w:hAnsi="Times New Roman"/>
                <w:sz w:val="28"/>
                <w:szCs w:val="28"/>
              </w:rPr>
              <w:t>.</w:t>
            </w:r>
          </w:p>
        </w:tc>
        <w:tc>
          <w:tcPr>
            <w:tcW w:w="2835" w:type="dxa"/>
            <w:tcBorders>
              <w:bottom w:val="single" w:sz="4" w:space="0" w:color="auto"/>
            </w:tcBorders>
          </w:tcPr>
          <w:p w:rsidR="000C7A91" w:rsidRPr="00C643B7" w:rsidRDefault="000C7A91"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sz w:val="28"/>
                <w:szCs w:val="28"/>
              </w:rPr>
              <w:t>Модифікована думка (із застереженням), але в цілому звітність не містить суттєвих викривлень</w:t>
            </w:r>
            <w:r w:rsidR="00D6341E" w:rsidRPr="00C643B7">
              <w:rPr>
                <w:rFonts w:ascii="Times New Roman" w:hAnsi="Times New Roman"/>
                <w:sz w:val="28"/>
                <w:szCs w:val="28"/>
              </w:rPr>
              <w:t>.</w:t>
            </w:r>
          </w:p>
        </w:tc>
        <w:tc>
          <w:tcPr>
            <w:tcW w:w="3231" w:type="dxa"/>
            <w:tcBorders>
              <w:bottom w:val="single" w:sz="4" w:space="0" w:color="auto"/>
            </w:tcBorders>
          </w:tcPr>
          <w:p w:rsidR="000C7A91" w:rsidRPr="00C643B7" w:rsidRDefault="000C7A91"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sz w:val="28"/>
                <w:szCs w:val="28"/>
              </w:rPr>
              <w:t>Модифікована думка (із застереженням), за результатами проведеного аудиту є сумніви щодо достовірності окремих показників звітності, оцінки вартості активів та зобов’язань або у аудитора є сумніви щодо безперервності діяльності суб’єкта господарювання у майбутньому</w:t>
            </w:r>
            <w:r w:rsidR="00D6341E" w:rsidRPr="00C643B7">
              <w:rPr>
                <w:rFonts w:ascii="Times New Roman" w:hAnsi="Times New Roman"/>
                <w:sz w:val="28"/>
                <w:szCs w:val="28"/>
              </w:rPr>
              <w:t>.</w:t>
            </w:r>
          </w:p>
        </w:tc>
        <w:tc>
          <w:tcPr>
            <w:tcW w:w="3969" w:type="dxa"/>
            <w:tcBorders>
              <w:bottom w:val="single" w:sz="4" w:space="0" w:color="auto"/>
            </w:tcBorders>
          </w:tcPr>
          <w:p w:rsidR="000C7A91" w:rsidRPr="00C643B7" w:rsidRDefault="000C7A91" w:rsidP="004646FD">
            <w:pPr>
              <w:spacing w:line="240" w:lineRule="auto"/>
              <w:jc w:val="both"/>
              <w:rPr>
                <w:rFonts w:ascii="Times New Roman" w:hAnsi="Times New Roman"/>
                <w:sz w:val="28"/>
                <w:szCs w:val="28"/>
              </w:rPr>
            </w:pPr>
            <w:r w:rsidRPr="00C643B7">
              <w:rPr>
                <w:rFonts w:ascii="Times New Roman" w:hAnsi="Times New Roman"/>
                <w:sz w:val="28"/>
                <w:szCs w:val="28"/>
              </w:rPr>
              <w:t xml:space="preserve">Модифікована думка (негативна або відмова від висловлення думки) або </w:t>
            </w:r>
            <w:r w:rsidR="00C643B7" w:rsidRPr="00C643B7">
              <w:rPr>
                <w:rFonts w:ascii="Times New Roman" w:hAnsi="Times New Roman"/>
                <w:sz w:val="28"/>
                <w:szCs w:val="28"/>
              </w:rPr>
              <w:t>аудиторський</w:t>
            </w:r>
            <w:r w:rsidRPr="00C643B7">
              <w:rPr>
                <w:rFonts w:ascii="Times New Roman" w:hAnsi="Times New Roman"/>
                <w:sz w:val="28"/>
                <w:szCs w:val="28"/>
              </w:rPr>
              <w:t xml:space="preserve"> звіт за попередній рік не подано до </w:t>
            </w:r>
            <w:r w:rsidR="00D6341E" w:rsidRPr="00C643B7">
              <w:rPr>
                <w:rFonts w:ascii="Times New Roman" w:hAnsi="Times New Roman"/>
                <w:sz w:val="28"/>
                <w:szCs w:val="28"/>
              </w:rPr>
              <w:t>Національного банку.</w:t>
            </w:r>
          </w:p>
        </w:tc>
        <w:tc>
          <w:tcPr>
            <w:tcW w:w="1843" w:type="dxa"/>
            <w:tcBorders>
              <w:bottom w:val="single" w:sz="4" w:space="0" w:color="auto"/>
            </w:tcBorders>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5</w:t>
            </w:r>
          </w:p>
        </w:tc>
      </w:tr>
      <w:tr w:rsidR="000C7A91" w:rsidRPr="00C643B7" w:rsidTr="006E3523">
        <w:trPr>
          <w:trHeight w:val="1815"/>
        </w:trPr>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lastRenderedPageBreak/>
              <w:t>5</w:t>
            </w:r>
          </w:p>
        </w:tc>
        <w:tc>
          <w:tcPr>
            <w:tcW w:w="788" w:type="dxa"/>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1.4</w:t>
            </w:r>
          </w:p>
        </w:tc>
        <w:tc>
          <w:tcPr>
            <w:tcW w:w="2410" w:type="dxa"/>
            <w:tcBorders>
              <w:bottom w:val="single" w:sz="4" w:space="0" w:color="auto"/>
            </w:tcBorders>
            <w:shd w:val="clear" w:color="auto" w:fill="auto"/>
          </w:tcPr>
          <w:p w:rsidR="000C7A91" w:rsidRPr="00C643B7" w:rsidRDefault="000C7A91" w:rsidP="004646FD">
            <w:pPr>
              <w:spacing w:line="240" w:lineRule="auto"/>
              <w:jc w:val="both"/>
              <w:rPr>
                <w:rFonts w:ascii="Times New Roman" w:hAnsi="Times New Roman"/>
                <w:sz w:val="28"/>
                <w:szCs w:val="28"/>
              </w:rPr>
            </w:pPr>
            <w:r w:rsidRPr="00C643B7">
              <w:rPr>
                <w:rFonts w:ascii="Times New Roman" w:eastAsia="Times New Roman" w:hAnsi="Times New Roman"/>
                <w:color w:val="212121"/>
                <w:sz w:val="28"/>
                <w:szCs w:val="28"/>
                <w:lang w:eastAsia="uk-UA"/>
              </w:rPr>
              <w:t>Виконання вимог законодавства щодо захисту прав споживачів фінансових послуг </w:t>
            </w:r>
          </w:p>
        </w:tc>
        <w:tc>
          <w:tcPr>
            <w:tcW w:w="3686" w:type="dxa"/>
            <w:tcBorders>
              <w:bottom w:val="single" w:sz="4" w:space="0" w:color="auto"/>
            </w:tcBorders>
            <w:shd w:val="clear" w:color="auto" w:fill="auto"/>
          </w:tcPr>
          <w:p w:rsidR="000C7A91" w:rsidRPr="00C643B7" w:rsidRDefault="000C7A91"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bCs/>
                <w:sz w:val="28"/>
                <w:szCs w:val="28"/>
              </w:rPr>
              <w:t>Протягом періоду оцінки не було виявлено</w:t>
            </w:r>
            <w:r w:rsidRPr="00C643B7">
              <w:rPr>
                <w:rFonts w:ascii="Times New Roman" w:eastAsia="Times New Roman" w:hAnsi="Times New Roman"/>
                <w:sz w:val="28"/>
                <w:szCs w:val="28"/>
                <w:shd w:val="clear" w:color="auto" w:fill="FFFFFF"/>
                <w:lang w:eastAsia="ru-RU"/>
              </w:rPr>
              <w:t xml:space="preserve"> порушень учасником законодавства </w:t>
            </w:r>
            <w:r w:rsidR="009A3C24" w:rsidRPr="00C643B7">
              <w:rPr>
                <w:rFonts w:ascii="Times New Roman" w:hAnsi="Times New Roman"/>
                <w:bCs/>
                <w:sz w:val="28"/>
                <w:szCs w:val="28"/>
              </w:rPr>
              <w:t>[</w:t>
            </w:r>
            <w:r w:rsidRPr="00C643B7">
              <w:rPr>
                <w:rFonts w:ascii="Times New Roman" w:hAnsi="Times New Roman"/>
                <w:sz w:val="28"/>
                <w:szCs w:val="28"/>
                <w:shd w:val="clear" w:color="auto" w:fill="FFFFFF"/>
              </w:rPr>
              <w:t xml:space="preserve">включаючи нормативно-правових актів Національного банку, </w:t>
            </w:r>
            <w:r w:rsidR="005978A7" w:rsidRPr="00C643B7">
              <w:rPr>
                <w:rFonts w:ascii="Times New Roman" w:hAnsi="Times New Roman"/>
                <w:sz w:val="28"/>
                <w:szCs w:val="28"/>
                <w:shd w:val="clear" w:color="auto" w:fill="FFFFFF"/>
              </w:rPr>
              <w:t>Національної комісії, що здійснює державне регулювання ринків фінансових послуг (далі - Нацкомфінпослуг)</w:t>
            </w:r>
            <w:r w:rsidR="009A3C24" w:rsidRPr="00C643B7">
              <w:rPr>
                <w:rFonts w:ascii="Times New Roman" w:hAnsi="Times New Roman"/>
                <w:sz w:val="28"/>
                <w:szCs w:val="28"/>
                <w:shd w:val="clear" w:color="auto" w:fill="FFFFFF"/>
              </w:rPr>
              <w:t>]</w:t>
            </w:r>
            <w:r w:rsidRPr="00C643B7">
              <w:rPr>
                <w:rFonts w:ascii="Times New Roman" w:eastAsia="Times New Roman" w:hAnsi="Times New Roman"/>
                <w:sz w:val="28"/>
                <w:szCs w:val="28"/>
                <w:shd w:val="clear" w:color="auto" w:fill="FFFFFF"/>
                <w:lang w:eastAsia="ru-RU"/>
              </w:rPr>
              <w:t xml:space="preserve"> за результатами розгляду звернень споживачів фінансових послуг.</w:t>
            </w:r>
          </w:p>
          <w:p w:rsidR="000C7A91" w:rsidRPr="00C643B7" w:rsidRDefault="000C7A91" w:rsidP="004646FD">
            <w:pPr>
              <w:spacing w:line="240" w:lineRule="auto"/>
              <w:rPr>
                <w:rFonts w:ascii="Times New Roman" w:eastAsia="Times New Roman" w:hAnsi="Times New Roman"/>
                <w:sz w:val="28"/>
                <w:szCs w:val="28"/>
                <w:shd w:val="clear" w:color="auto" w:fill="FFFFFF"/>
                <w:lang w:eastAsia="ru-RU"/>
              </w:rPr>
            </w:pPr>
          </w:p>
        </w:tc>
        <w:tc>
          <w:tcPr>
            <w:tcW w:w="2835" w:type="dxa"/>
            <w:tcBorders>
              <w:bottom w:val="single" w:sz="4" w:space="0" w:color="auto"/>
            </w:tcBorders>
            <w:shd w:val="clear" w:color="auto" w:fill="auto"/>
          </w:tcPr>
          <w:p w:rsidR="000C7A91" w:rsidRPr="00C643B7" w:rsidRDefault="000C7A91"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bCs/>
                <w:sz w:val="28"/>
                <w:szCs w:val="28"/>
              </w:rPr>
              <w:t xml:space="preserve">Протягом періоду оцінки </w:t>
            </w:r>
            <w:r w:rsidRPr="00C643B7">
              <w:rPr>
                <w:rFonts w:ascii="Times New Roman" w:hAnsi="Times New Roman"/>
                <w:sz w:val="28"/>
                <w:szCs w:val="28"/>
                <w:shd w:val="clear" w:color="auto" w:fill="FFFFFF"/>
              </w:rPr>
              <w:t xml:space="preserve">кількість виявлених </w:t>
            </w:r>
            <w:r w:rsidRPr="00C643B7">
              <w:rPr>
                <w:rFonts w:ascii="Times New Roman" w:eastAsia="Times New Roman" w:hAnsi="Times New Roman"/>
                <w:sz w:val="28"/>
                <w:szCs w:val="28"/>
                <w:shd w:val="clear" w:color="auto" w:fill="FFFFFF"/>
                <w:lang w:eastAsia="ru-RU"/>
              </w:rPr>
              <w:t xml:space="preserve">порушень учасником законодавства </w:t>
            </w:r>
            <w:r w:rsidRPr="00C643B7">
              <w:rPr>
                <w:rFonts w:ascii="Times New Roman" w:hAnsi="Times New Roman"/>
                <w:bCs/>
                <w:sz w:val="28"/>
                <w:szCs w:val="28"/>
              </w:rPr>
              <w:t>(</w:t>
            </w:r>
            <w:r w:rsidRPr="00C643B7">
              <w:rPr>
                <w:rFonts w:ascii="Times New Roman" w:hAnsi="Times New Roman"/>
                <w:sz w:val="28"/>
                <w:szCs w:val="28"/>
                <w:shd w:val="clear" w:color="auto" w:fill="FFFFFF"/>
              </w:rPr>
              <w:t>включаючи нормативно-правових актів Національного банку, Нацкомфінпослуг)</w:t>
            </w:r>
            <w:r w:rsidRPr="00C643B7">
              <w:rPr>
                <w:rFonts w:ascii="Times New Roman" w:eastAsia="Times New Roman" w:hAnsi="Times New Roman"/>
                <w:sz w:val="28"/>
                <w:szCs w:val="28"/>
                <w:shd w:val="clear" w:color="auto" w:fill="FFFFFF"/>
                <w:lang w:eastAsia="ru-RU"/>
              </w:rPr>
              <w:t xml:space="preserve"> за результатами розгляду звернень споживачів фінансових послуг, </w:t>
            </w:r>
            <w:r w:rsidRPr="00C643B7">
              <w:rPr>
                <w:rFonts w:ascii="Times New Roman" w:hAnsi="Times New Roman"/>
                <w:sz w:val="28"/>
                <w:szCs w:val="28"/>
                <w:shd w:val="clear" w:color="auto" w:fill="FFFFFF"/>
              </w:rPr>
              <w:t xml:space="preserve">менша за середню кількість таких виявлених порушень на одного учасника, розраховану як співвідношення загальної кількості таких порушень усіма учасниками за звітний період до загальної кількості учасників (далі – </w:t>
            </w:r>
            <w:r w:rsidRPr="00C643B7">
              <w:rPr>
                <w:rFonts w:ascii="Times New Roman" w:hAnsi="Times New Roman"/>
                <w:sz w:val="28"/>
                <w:szCs w:val="28"/>
                <w:shd w:val="clear" w:color="auto" w:fill="FFFFFF"/>
              </w:rPr>
              <w:lastRenderedPageBreak/>
              <w:t>середня кількість порушень).</w:t>
            </w:r>
          </w:p>
        </w:tc>
        <w:tc>
          <w:tcPr>
            <w:tcW w:w="3231" w:type="dxa"/>
            <w:shd w:val="clear" w:color="auto" w:fill="auto"/>
          </w:tcPr>
          <w:p w:rsidR="000C7A91" w:rsidRPr="00C643B7" w:rsidRDefault="000C7A91"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hAnsi="Times New Roman"/>
                <w:bCs/>
                <w:sz w:val="28"/>
                <w:szCs w:val="28"/>
              </w:rPr>
              <w:lastRenderedPageBreak/>
              <w:t xml:space="preserve">Протягом періоду оцінки </w:t>
            </w:r>
            <w:r w:rsidRPr="00C643B7">
              <w:rPr>
                <w:rFonts w:ascii="Times New Roman" w:hAnsi="Times New Roman"/>
                <w:sz w:val="28"/>
                <w:szCs w:val="28"/>
                <w:shd w:val="clear" w:color="auto" w:fill="FFFFFF"/>
              </w:rPr>
              <w:t xml:space="preserve">кількість виявлених </w:t>
            </w:r>
            <w:r w:rsidRPr="00C643B7">
              <w:rPr>
                <w:rFonts w:ascii="Times New Roman" w:eastAsia="Times New Roman" w:hAnsi="Times New Roman"/>
                <w:sz w:val="28"/>
                <w:szCs w:val="28"/>
                <w:shd w:val="clear" w:color="auto" w:fill="FFFFFF"/>
                <w:lang w:eastAsia="ru-RU"/>
              </w:rPr>
              <w:t xml:space="preserve">порушень учасником  законодавства </w:t>
            </w:r>
            <w:r w:rsidRPr="00C643B7">
              <w:rPr>
                <w:rFonts w:ascii="Times New Roman" w:hAnsi="Times New Roman"/>
                <w:bCs/>
                <w:sz w:val="28"/>
                <w:szCs w:val="28"/>
              </w:rPr>
              <w:t>(</w:t>
            </w:r>
            <w:r w:rsidRPr="00C643B7">
              <w:rPr>
                <w:rFonts w:ascii="Times New Roman" w:hAnsi="Times New Roman"/>
                <w:sz w:val="28"/>
                <w:szCs w:val="28"/>
                <w:shd w:val="clear" w:color="auto" w:fill="FFFFFF"/>
              </w:rPr>
              <w:t>включаючи нормативно-правових актів Національного банку, Нацкомфінпослуг)</w:t>
            </w:r>
            <w:r w:rsidRPr="00C643B7">
              <w:rPr>
                <w:rFonts w:ascii="Times New Roman" w:eastAsia="Times New Roman" w:hAnsi="Times New Roman"/>
                <w:sz w:val="28"/>
                <w:szCs w:val="28"/>
                <w:shd w:val="clear" w:color="auto" w:fill="FFFFFF"/>
                <w:lang w:eastAsia="ru-RU"/>
              </w:rPr>
              <w:t xml:space="preserve"> за результатами розгляду звернень споживачів фінансових послуг становить або перевищує середню кількість порушень, але не перевищує подвійну </w:t>
            </w:r>
            <w:r w:rsidRPr="00C643B7">
              <w:rPr>
                <w:rFonts w:ascii="Times New Roman" w:hAnsi="Times New Roman"/>
                <w:sz w:val="28"/>
                <w:szCs w:val="28"/>
                <w:shd w:val="clear" w:color="auto" w:fill="FFFFFF"/>
              </w:rPr>
              <w:t>середню кількість таких виявлених порушень.</w:t>
            </w:r>
          </w:p>
        </w:tc>
        <w:tc>
          <w:tcPr>
            <w:tcW w:w="3969" w:type="dxa"/>
            <w:shd w:val="clear" w:color="auto" w:fill="auto"/>
          </w:tcPr>
          <w:p w:rsidR="000C7A91" w:rsidRPr="00C643B7" w:rsidRDefault="000C7A91" w:rsidP="004646FD">
            <w:pPr>
              <w:spacing w:line="240" w:lineRule="auto"/>
              <w:jc w:val="both"/>
              <w:rPr>
                <w:rFonts w:ascii="Times New Roman" w:hAnsi="Times New Roman"/>
                <w:sz w:val="28"/>
                <w:szCs w:val="28"/>
              </w:rPr>
            </w:pPr>
            <w:r w:rsidRPr="00C643B7">
              <w:rPr>
                <w:rFonts w:ascii="Times New Roman" w:hAnsi="Times New Roman"/>
                <w:bCs/>
                <w:sz w:val="28"/>
                <w:szCs w:val="28"/>
              </w:rPr>
              <w:t xml:space="preserve">Протягом періоду оцінки </w:t>
            </w:r>
            <w:r w:rsidRPr="00C643B7">
              <w:rPr>
                <w:rFonts w:ascii="Times New Roman" w:hAnsi="Times New Roman"/>
                <w:sz w:val="28"/>
                <w:szCs w:val="28"/>
                <w:shd w:val="clear" w:color="auto" w:fill="FFFFFF"/>
              </w:rPr>
              <w:t xml:space="preserve">кількість виявлених </w:t>
            </w:r>
            <w:r w:rsidRPr="00C643B7">
              <w:rPr>
                <w:rFonts w:ascii="Times New Roman" w:eastAsia="Times New Roman" w:hAnsi="Times New Roman"/>
                <w:sz w:val="28"/>
                <w:szCs w:val="28"/>
                <w:shd w:val="clear" w:color="auto" w:fill="FFFFFF"/>
                <w:lang w:eastAsia="ru-RU"/>
              </w:rPr>
              <w:t xml:space="preserve">порушень учасником законодавства </w:t>
            </w:r>
            <w:r w:rsidRPr="00C643B7">
              <w:rPr>
                <w:rFonts w:ascii="Times New Roman" w:hAnsi="Times New Roman"/>
                <w:bCs/>
                <w:sz w:val="28"/>
                <w:szCs w:val="28"/>
              </w:rPr>
              <w:t>(</w:t>
            </w:r>
            <w:r w:rsidRPr="00C643B7">
              <w:rPr>
                <w:rFonts w:ascii="Times New Roman" w:hAnsi="Times New Roman"/>
                <w:sz w:val="28"/>
                <w:szCs w:val="28"/>
                <w:shd w:val="clear" w:color="auto" w:fill="FFFFFF"/>
              </w:rPr>
              <w:t>включаючи нормативно-правових актів Національного банку, Нацкомфінпослуг)</w:t>
            </w:r>
            <w:r w:rsidRPr="00C643B7">
              <w:rPr>
                <w:rFonts w:ascii="Times New Roman" w:eastAsia="Times New Roman" w:hAnsi="Times New Roman"/>
                <w:sz w:val="28"/>
                <w:szCs w:val="28"/>
                <w:shd w:val="clear" w:color="auto" w:fill="FFFFFF"/>
                <w:lang w:eastAsia="ru-RU"/>
              </w:rPr>
              <w:t xml:space="preserve"> за результатами розгляду звернень споживачів фінансових послуг перевищує подвійну </w:t>
            </w:r>
            <w:r w:rsidRPr="00C643B7">
              <w:rPr>
                <w:rFonts w:ascii="Times New Roman" w:hAnsi="Times New Roman"/>
                <w:sz w:val="28"/>
                <w:szCs w:val="28"/>
                <w:shd w:val="clear" w:color="auto" w:fill="FFFFFF"/>
              </w:rPr>
              <w:t>середню кількість таких виявлених порушень</w:t>
            </w:r>
            <w:r w:rsidRPr="00C643B7" w:rsidDel="00FE1E34">
              <w:rPr>
                <w:rFonts w:ascii="Times New Roman" w:hAnsi="Times New Roman"/>
                <w:sz w:val="28"/>
                <w:szCs w:val="28"/>
                <w:shd w:val="clear" w:color="auto" w:fill="FFFFFF"/>
              </w:rPr>
              <w:t xml:space="preserve"> </w:t>
            </w:r>
            <w:r w:rsidRPr="00C643B7">
              <w:rPr>
                <w:rFonts w:ascii="Times New Roman" w:hAnsi="Times New Roman"/>
                <w:sz w:val="28"/>
                <w:szCs w:val="28"/>
                <w:shd w:val="clear" w:color="auto" w:fill="FFFFFF"/>
              </w:rPr>
              <w:t xml:space="preserve">. </w:t>
            </w:r>
          </w:p>
        </w:tc>
        <w:tc>
          <w:tcPr>
            <w:tcW w:w="1843" w:type="dxa"/>
            <w:shd w:val="clear" w:color="auto" w:fill="auto"/>
          </w:tcPr>
          <w:p w:rsidR="000C7A91" w:rsidRPr="00C643B7" w:rsidRDefault="000C7A91" w:rsidP="004646FD">
            <w:pPr>
              <w:spacing w:line="240" w:lineRule="auto"/>
              <w:jc w:val="center"/>
              <w:rPr>
                <w:rFonts w:ascii="Times New Roman" w:hAnsi="Times New Roman"/>
                <w:color w:val="FF0000"/>
                <w:sz w:val="28"/>
                <w:szCs w:val="28"/>
              </w:rPr>
            </w:pPr>
            <w:r w:rsidRPr="00C643B7">
              <w:rPr>
                <w:rFonts w:ascii="Times New Roman" w:hAnsi="Times New Roman"/>
                <w:sz w:val="28"/>
                <w:szCs w:val="28"/>
              </w:rPr>
              <w:t>65</w:t>
            </w:r>
          </w:p>
        </w:tc>
      </w:tr>
      <w:tr w:rsidR="000C7A91" w:rsidRPr="00C643B7" w:rsidTr="000C7A91">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6</w:t>
            </w:r>
          </w:p>
        </w:tc>
        <w:tc>
          <w:tcPr>
            <w:tcW w:w="788" w:type="dxa"/>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2</w:t>
            </w:r>
          </w:p>
        </w:tc>
        <w:tc>
          <w:tcPr>
            <w:tcW w:w="16131" w:type="dxa"/>
            <w:gridSpan w:val="5"/>
            <w:shd w:val="clear" w:color="auto" w:fill="auto"/>
          </w:tcPr>
          <w:p w:rsidR="000C7A91" w:rsidRPr="00C643B7" w:rsidRDefault="000C7A91" w:rsidP="004646FD">
            <w:pPr>
              <w:spacing w:line="240" w:lineRule="auto"/>
              <w:rPr>
                <w:rFonts w:ascii="Times New Roman" w:hAnsi="Times New Roman"/>
                <w:bCs/>
                <w:sz w:val="28"/>
                <w:szCs w:val="28"/>
              </w:rPr>
            </w:pPr>
            <w:r w:rsidRPr="00C643B7">
              <w:rPr>
                <w:rFonts w:ascii="Times New Roman" w:hAnsi="Times New Roman"/>
                <w:sz w:val="28"/>
                <w:szCs w:val="28"/>
              </w:rPr>
              <w:t xml:space="preserve">Показники діяльності </w:t>
            </w:r>
          </w:p>
        </w:tc>
        <w:tc>
          <w:tcPr>
            <w:tcW w:w="1843" w:type="dxa"/>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5</w:t>
            </w:r>
          </w:p>
        </w:tc>
      </w:tr>
      <w:tr w:rsidR="000C7A91" w:rsidRPr="00C643B7" w:rsidTr="000C7A91">
        <w:tc>
          <w:tcPr>
            <w:tcW w:w="846" w:type="dxa"/>
            <w:tcBorders>
              <w:bottom w:val="single" w:sz="4" w:space="0" w:color="auto"/>
            </w:tcBorders>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7</w:t>
            </w:r>
          </w:p>
        </w:tc>
        <w:tc>
          <w:tcPr>
            <w:tcW w:w="788" w:type="dxa"/>
            <w:tcBorders>
              <w:bottom w:val="single" w:sz="4" w:space="0" w:color="auto"/>
            </w:tcBorders>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2.1</w:t>
            </w:r>
          </w:p>
        </w:tc>
        <w:tc>
          <w:tcPr>
            <w:tcW w:w="2410" w:type="dxa"/>
            <w:shd w:val="clear" w:color="auto" w:fill="auto"/>
          </w:tcPr>
          <w:p w:rsidR="000C7A91" w:rsidRPr="00C643B7" w:rsidRDefault="000C7A91" w:rsidP="004646FD">
            <w:pPr>
              <w:spacing w:line="240" w:lineRule="auto"/>
              <w:jc w:val="both"/>
              <w:rPr>
                <w:rFonts w:ascii="Times New Roman" w:hAnsi="Times New Roman"/>
                <w:bCs/>
                <w:sz w:val="28"/>
                <w:szCs w:val="28"/>
              </w:rPr>
            </w:pPr>
            <w:r w:rsidRPr="00C643B7">
              <w:rPr>
                <w:rFonts w:ascii="Times New Roman" w:hAnsi="Times New Roman"/>
                <w:bCs/>
                <w:sz w:val="28"/>
                <w:szCs w:val="28"/>
              </w:rPr>
              <w:t xml:space="preserve">Видані гарантії </w:t>
            </w:r>
            <w:r w:rsidRPr="00C643B7">
              <w:rPr>
                <w:rFonts w:ascii="Times New Roman" w:hAnsi="Times New Roman"/>
                <w:sz w:val="28"/>
                <w:szCs w:val="28"/>
              </w:rPr>
              <w:t xml:space="preserve">(за строком) </w:t>
            </w:r>
            <w:r w:rsidRPr="00C643B7">
              <w:rPr>
                <w:rFonts w:ascii="Times New Roman" w:hAnsi="Times New Roman"/>
                <w:bCs/>
                <w:sz w:val="28"/>
                <w:szCs w:val="28"/>
              </w:rPr>
              <w:t>за період оцінки</w:t>
            </w:r>
          </w:p>
        </w:tc>
        <w:tc>
          <w:tcPr>
            <w:tcW w:w="3686" w:type="dxa"/>
            <w:shd w:val="clear" w:color="auto" w:fill="auto"/>
            <w:vAlign w:val="center"/>
          </w:tcPr>
          <w:p w:rsidR="000C7A91" w:rsidRPr="00C643B7" w:rsidRDefault="000C7A91" w:rsidP="004646FD">
            <w:pPr>
              <w:spacing w:line="240" w:lineRule="auto"/>
              <w:jc w:val="both"/>
              <w:rPr>
                <w:rFonts w:ascii="Times New Roman" w:hAnsi="Times New Roman"/>
                <w:bCs/>
                <w:color w:val="000000"/>
                <w:sz w:val="28"/>
                <w:szCs w:val="28"/>
              </w:rPr>
            </w:pPr>
            <w:r w:rsidRPr="00C643B7">
              <w:rPr>
                <w:rFonts w:ascii="Times New Roman" w:hAnsi="Times New Roman"/>
                <w:bCs/>
                <w:sz w:val="28"/>
                <w:szCs w:val="28"/>
              </w:rPr>
              <w:t xml:space="preserve">Установа </w:t>
            </w:r>
            <w:r w:rsidRPr="00C643B7">
              <w:rPr>
                <w:rFonts w:ascii="Times New Roman" w:hAnsi="Times New Roman"/>
                <w:bCs/>
                <w:color w:val="000000"/>
                <w:sz w:val="28"/>
                <w:szCs w:val="28"/>
              </w:rPr>
              <w:t>не видавала протягом періоду оцінки гарантій</w:t>
            </w:r>
            <w:r w:rsidR="00E720E6" w:rsidRPr="00C643B7">
              <w:rPr>
                <w:rFonts w:ascii="Times New Roman" w:hAnsi="Times New Roman"/>
                <w:bCs/>
                <w:color w:val="000000"/>
                <w:sz w:val="28"/>
                <w:szCs w:val="28"/>
              </w:rPr>
              <w:t>.</w:t>
            </w:r>
          </w:p>
        </w:tc>
        <w:tc>
          <w:tcPr>
            <w:tcW w:w="2835" w:type="dxa"/>
            <w:shd w:val="clear" w:color="auto" w:fill="auto"/>
            <w:vAlign w:val="center"/>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Установа </w:t>
            </w:r>
            <w:r w:rsidRPr="00C643B7">
              <w:rPr>
                <w:rFonts w:ascii="Times New Roman" w:hAnsi="Times New Roman"/>
                <w:bCs/>
                <w:color w:val="000000"/>
                <w:sz w:val="28"/>
                <w:szCs w:val="28"/>
              </w:rPr>
              <w:t xml:space="preserve">протягом періоду оцінки </w:t>
            </w:r>
            <w:r w:rsidRPr="00C643B7">
              <w:rPr>
                <w:rFonts w:ascii="Times New Roman" w:hAnsi="Times New Roman"/>
                <w:bCs/>
                <w:sz w:val="28"/>
                <w:szCs w:val="28"/>
              </w:rPr>
              <w:t xml:space="preserve"> видавала гарантії на термін до 2 років </w:t>
            </w:r>
          </w:p>
        </w:tc>
        <w:tc>
          <w:tcPr>
            <w:tcW w:w="3231" w:type="dxa"/>
            <w:shd w:val="clear" w:color="auto" w:fill="auto"/>
            <w:vAlign w:val="center"/>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Установа </w:t>
            </w:r>
            <w:r w:rsidRPr="00C643B7">
              <w:rPr>
                <w:rFonts w:ascii="Times New Roman" w:hAnsi="Times New Roman"/>
                <w:bCs/>
                <w:color w:val="000000"/>
                <w:sz w:val="28"/>
                <w:szCs w:val="28"/>
              </w:rPr>
              <w:t xml:space="preserve">протягом періоду оцінки </w:t>
            </w:r>
            <w:r w:rsidRPr="00C643B7">
              <w:rPr>
                <w:rFonts w:ascii="Times New Roman" w:hAnsi="Times New Roman"/>
                <w:bCs/>
                <w:sz w:val="28"/>
                <w:szCs w:val="28"/>
              </w:rPr>
              <w:t xml:space="preserve"> видавала гарантії на термін від 2 до 5 років </w:t>
            </w:r>
          </w:p>
        </w:tc>
        <w:tc>
          <w:tcPr>
            <w:tcW w:w="3969" w:type="dxa"/>
            <w:shd w:val="clear" w:color="auto" w:fill="auto"/>
            <w:vAlign w:val="center"/>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 xml:space="preserve">Установа </w:t>
            </w:r>
            <w:r w:rsidRPr="00C643B7">
              <w:rPr>
                <w:rFonts w:ascii="Times New Roman" w:hAnsi="Times New Roman"/>
                <w:bCs/>
                <w:color w:val="000000"/>
                <w:sz w:val="28"/>
                <w:szCs w:val="28"/>
              </w:rPr>
              <w:t xml:space="preserve">протягом періоду оцінки </w:t>
            </w:r>
            <w:r w:rsidRPr="00C643B7">
              <w:rPr>
                <w:rFonts w:ascii="Times New Roman" w:hAnsi="Times New Roman"/>
                <w:bCs/>
                <w:sz w:val="28"/>
                <w:szCs w:val="28"/>
              </w:rPr>
              <w:t xml:space="preserve"> видавала гарантії на термін більше 5 років</w:t>
            </w:r>
          </w:p>
        </w:tc>
        <w:tc>
          <w:tcPr>
            <w:tcW w:w="1843" w:type="dxa"/>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100</w:t>
            </w:r>
          </w:p>
        </w:tc>
      </w:tr>
      <w:tr w:rsidR="000C7A91" w:rsidRPr="00C643B7" w:rsidTr="000C7A91">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8</w:t>
            </w:r>
          </w:p>
        </w:tc>
        <w:tc>
          <w:tcPr>
            <w:tcW w:w="788" w:type="dxa"/>
            <w:shd w:val="clear" w:color="auto" w:fill="auto"/>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3</w:t>
            </w:r>
          </w:p>
        </w:tc>
        <w:tc>
          <w:tcPr>
            <w:tcW w:w="16131" w:type="dxa"/>
            <w:gridSpan w:val="5"/>
            <w:shd w:val="clear" w:color="auto" w:fill="auto"/>
          </w:tcPr>
          <w:p w:rsidR="000C7A91" w:rsidRPr="00C643B7" w:rsidRDefault="000C7A91" w:rsidP="004646FD">
            <w:pPr>
              <w:spacing w:line="240" w:lineRule="auto"/>
              <w:rPr>
                <w:rFonts w:ascii="Times New Roman" w:hAnsi="Times New Roman"/>
                <w:bCs/>
                <w:sz w:val="28"/>
                <w:szCs w:val="28"/>
              </w:rPr>
            </w:pPr>
            <w:r w:rsidRPr="00C643B7">
              <w:rPr>
                <w:rFonts w:ascii="Times New Roman" w:hAnsi="Times New Roman"/>
                <w:sz w:val="28"/>
                <w:szCs w:val="28"/>
              </w:rPr>
              <w:t>Виконання обов’язкових критеріїв і нормативів достатності капіталу та платоспроможності, ліквідності, прибутковості, якості активів та ризиковості операцій, інших показників і вимог</w:t>
            </w:r>
          </w:p>
        </w:tc>
        <w:tc>
          <w:tcPr>
            <w:tcW w:w="1843" w:type="dxa"/>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t>2</w:t>
            </w:r>
            <w:r w:rsidR="00403416" w:rsidRPr="00C643B7">
              <w:rPr>
                <w:rFonts w:ascii="Times New Roman" w:hAnsi="Times New Roman"/>
                <w:bCs/>
                <w:sz w:val="28"/>
                <w:szCs w:val="28"/>
              </w:rPr>
              <w:t>0</w:t>
            </w:r>
          </w:p>
        </w:tc>
      </w:tr>
      <w:tr w:rsidR="000C7A91" w:rsidRPr="00C643B7" w:rsidTr="000C7A91">
        <w:tc>
          <w:tcPr>
            <w:tcW w:w="846" w:type="dxa"/>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9</w:t>
            </w:r>
          </w:p>
        </w:tc>
        <w:tc>
          <w:tcPr>
            <w:tcW w:w="788" w:type="dxa"/>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3.1</w:t>
            </w:r>
          </w:p>
        </w:tc>
        <w:tc>
          <w:tcPr>
            <w:tcW w:w="2410" w:type="dxa"/>
            <w:shd w:val="clear" w:color="auto" w:fill="auto"/>
          </w:tcPr>
          <w:p w:rsidR="000C7A91" w:rsidRPr="00C643B7" w:rsidRDefault="000C7A91" w:rsidP="004646FD">
            <w:pPr>
              <w:spacing w:line="240" w:lineRule="auto"/>
              <w:rPr>
                <w:rFonts w:ascii="Times New Roman" w:hAnsi="Times New Roman"/>
                <w:sz w:val="28"/>
                <w:szCs w:val="28"/>
              </w:rPr>
            </w:pPr>
            <w:r w:rsidRPr="00C643B7">
              <w:rPr>
                <w:rFonts w:ascii="Times New Roman" w:hAnsi="Times New Roman"/>
                <w:sz w:val="28"/>
                <w:szCs w:val="28"/>
              </w:rPr>
              <w:t>Дотримання нормативу розміру власного капіталу та/або інших нормативів</w:t>
            </w:r>
          </w:p>
        </w:tc>
        <w:tc>
          <w:tcPr>
            <w:tcW w:w="3686" w:type="dxa"/>
            <w:shd w:val="clear" w:color="auto" w:fill="auto"/>
          </w:tcPr>
          <w:p w:rsidR="000C7A91" w:rsidRPr="00C643B7" w:rsidRDefault="000C7A91" w:rsidP="004646FD">
            <w:pPr>
              <w:spacing w:line="240" w:lineRule="auto"/>
              <w:jc w:val="center"/>
              <w:rPr>
                <w:rFonts w:ascii="Times New Roman" w:hAnsi="Times New Roman"/>
                <w:sz w:val="28"/>
                <w:szCs w:val="28"/>
              </w:rPr>
            </w:pPr>
            <w:r w:rsidRPr="00C643B7">
              <w:rPr>
                <w:rFonts w:ascii="Times New Roman" w:hAnsi="Times New Roman"/>
                <w:sz w:val="28"/>
                <w:szCs w:val="28"/>
              </w:rPr>
              <w:t>Не встановлено норматив розміру власного капіталу/ на дату оцінки розмір власного капіталу в 3 рази і більше перевищує норматив.</w:t>
            </w:r>
          </w:p>
        </w:tc>
        <w:tc>
          <w:tcPr>
            <w:tcW w:w="2835" w:type="dxa"/>
            <w:shd w:val="clear" w:color="auto" w:fill="auto"/>
          </w:tcPr>
          <w:p w:rsidR="000C7A91" w:rsidRPr="00C643B7" w:rsidRDefault="000C7A91" w:rsidP="004646FD">
            <w:pPr>
              <w:spacing w:line="240" w:lineRule="auto"/>
              <w:jc w:val="both"/>
              <w:rPr>
                <w:rFonts w:ascii="Times New Roman" w:hAnsi="Times New Roman"/>
                <w:sz w:val="28"/>
                <w:szCs w:val="28"/>
              </w:rPr>
            </w:pPr>
            <w:r w:rsidRPr="00C643B7">
              <w:rPr>
                <w:rFonts w:ascii="Times New Roman" w:hAnsi="Times New Roman"/>
                <w:sz w:val="28"/>
                <w:szCs w:val="28"/>
              </w:rPr>
              <w:t>На дату оцінки розмір власного капіталу в 2 рази і більше перевищує норматив.</w:t>
            </w:r>
          </w:p>
        </w:tc>
        <w:tc>
          <w:tcPr>
            <w:tcW w:w="3231" w:type="dxa"/>
            <w:shd w:val="clear" w:color="auto" w:fill="auto"/>
          </w:tcPr>
          <w:p w:rsidR="000C7A91" w:rsidRPr="00C643B7" w:rsidRDefault="000C7A91" w:rsidP="004646FD">
            <w:pPr>
              <w:spacing w:line="240" w:lineRule="auto"/>
              <w:jc w:val="both"/>
              <w:rPr>
                <w:rFonts w:ascii="Times New Roman" w:hAnsi="Times New Roman"/>
                <w:sz w:val="28"/>
                <w:szCs w:val="28"/>
              </w:rPr>
            </w:pPr>
            <w:r w:rsidRPr="00C643B7">
              <w:rPr>
                <w:rFonts w:ascii="Times New Roman" w:hAnsi="Times New Roman"/>
                <w:sz w:val="28"/>
                <w:szCs w:val="28"/>
              </w:rPr>
              <w:t>На дату оцінки нормативний  розмір власного капіталу виконується, але не перевищує в 2 рази норматив.</w:t>
            </w:r>
          </w:p>
        </w:tc>
        <w:tc>
          <w:tcPr>
            <w:tcW w:w="3969" w:type="dxa"/>
            <w:shd w:val="clear" w:color="auto" w:fill="auto"/>
            <w:vAlign w:val="center"/>
          </w:tcPr>
          <w:p w:rsidR="000C7A91" w:rsidRPr="00C643B7" w:rsidRDefault="000C7A91" w:rsidP="004646FD">
            <w:pPr>
              <w:spacing w:line="240" w:lineRule="auto"/>
              <w:jc w:val="both"/>
              <w:rPr>
                <w:rFonts w:ascii="Times New Roman" w:eastAsia="Times New Roman" w:hAnsi="Times New Roman"/>
                <w:sz w:val="28"/>
                <w:szCs w:val="28"/>
                <w:shd w:val="clear" w:color="auto" w:fill="FFFFFF"/>
                <w:lang w:eastAsia="ru-RU"/>
              </w:rPr>
            </w:pPr>
            <w:r w:rsidRPr="00C643B7">
              <w:rPr>
                <w:rFonts w:ascii="Times New Roman" w:eastAsia="Times New Roman" w:hAnsi="Times New Roman"/>
                <w:sz w:val="28"/>
                <w:szCs w:val="28"/>
                <w:shd w:val="clear" w:color="auto" w:fill="FFFFFF"/>
                <w:lang w:eastAsia="ru-RU"/>
              </w:rPr>
              <w:t xml:space="preserve">На дату оцінки </w:t>
            </w:r>
            <w:r w:rsidRPr="00C643B7">
              <w:rPr>
                <w:rFonts w:ascii="Times New Roman" w:hAnsi="Times New Roman"/>
                <w:sz w:val="28"/>
                <w:szCs w:val="28"/>
              </w:rPr>
              <w:t>норматив розміру власного капіталу не дотримується</w:t>
            </w:r>
            <w:r w:rsidRPr="00C643B7">
              <w:rPr>
                <w:rFonts w:ascii="Times New Roman" w:eastAsia="Times New Roman" w:hAnsi="Times New Roman"/>
                <w:sz w:val="28"/>
                <w:szCs w:val="28"/>
                <w:shd w:val="clear" w:color="auto" w:fill="FFFFFF"/>
                <w:lang w:eastAsia="ru-RU"/>
              </w:rPr>
              <w:t xml:space="preserve">, та/або не виконуються інші нормативи, встановлені Положенням про обов’язкові фінансові нормативи та вимоги, що обмежують ризики за операціями з фінансовими активами фінансових установ, що отримали ліцензію на здійснення господарської </w:t>
            </w:r>
            <w:r w:rsidRPr="00C643B7">
              <w:rPr>
                <w:rFonts w:ascii="Times New Roman" w:eastAsia="Times New Roman" w:hAnsi="Times New Roman"/>
                <w:sz w:val="28"/>
                <w:szCs w:val="28"/>
                <w:shd w:val="clear" w:color="auto" w:fill="FFFFFF"/>
                <w:lang w:eastAsia="ru-RU"/>
              </w:rPr>
              <w:lastRenderedPageBreak/>
              <w:t xml:space="preserve">діяльності з надання гарантій </w:t>
            </w:r>
            <w:r w:rsidR="006E3523" w:rsidRPr="00C643B7">
              <w:rPr>
                <w:rFonts w:ascii="Times New Roman" w:eastAsia="Times New Roman" w:hAnsi="Times New Roman"/>
                <w:sz w:val="28"/>
                <w:szCs w:val="28"/>
                <w:shd w:val="clear" w:color="auto" w:fill="FFFFFF"/>
                <w:lang w:eastAsia="ru-RU"/>
              </w:rPr>
              <w:t>та поручительств, затвердженим ро</w:t>
            </w:r>
            <w:r w:rsidRPr="00C643B7">
              <w:rPr>
                <w:rFonts w:ascii="Times New Roman" w:eastAsia="Times New Roman" w:hAnsi="Times New Roman"/>
                <w:sz w:val="28"/>
                <w:szCs w:val="28"/>
                <w:shd w:val="clear" w:color="auto" w:fill="FFFFFF"/>
                <w:lang w:eastAsia="ru-RU"/>
              </w:rPr>
              <w:t xml:space="preserve">зпорядженням </w:t>
            </w:r>
            <w:r w:rsidR="006E3523" w:rsidRPr="00C643B7">
              <w:rPr>
                <w:rFonts w:ascii="Times New Roman" w:eastAsia="Times New Roman" w:hAnsi="Times New Roman"/>
                <w:sz w:val="28"/>
                <w:szCs w:val="28"/>
                <w:shd w:val="clear" w:color="auto" w:fill="FFFFFF"/>
                <w:lang w:eastAsia="ru-RU"/>
              </w:rPr>
              <w:t>Національної комісії, що здійснює державне регулювання у сфері ринків фінансових послуг</w:t>
            </w:r>
            <w:r w:rsidRPr="00C643B7">
              <w:rPr>
                <w:rFonts w:ascii="Times New Roman" w:eastAsia="Times New Roman" w:hAnsi="Times New Roman"/>
                <w:sz w:val="28"/>
                <w:szCs w:val="28"/>
                <w:shd w:val="clear" w:color="auto" w:fill="FFFFFF"/>
                <w:lang w:eastAsia="ru-RU"/>
              </w:rPr>
              <w:t xml:space="preserve"> від 30</w:t>
            </w:r>
            <w:r w:rsidR="00374884" w:rsidRPr="00C643B7">
              <w:rPr>
                <w:rFonts w:ascii="Times New Roman" w:eastAsia="Times New Roman" w:hAnsi="Times New Roman"/>
                <w:sz w:val="28"/>
                <w:szCs w:val="28"/>
                <w:shd w:val="clear" w:color="auto" w:fill="FFFFFF"/>
                <w:lang w:eastAsia="ru-RU"/>
              </w:rPr>
              <w:t xml:space="preserve"> травня </w:t>
            </w:r>
            <w:r w:rsidRPr="00C643B7">
              <w:rPr>
                <w:rFonts w:ascii="Times New Roman" w:eastAsia="Times New Roman" w:hAnsi="Times New Roman"/>
                <w:sz w:val="28"/>
                <w:szCs w:val="28"/>
                <w:shd w:val="clear" w:color="auto" w:fill="FFFFFF"/>
                <w:lang w:eastAsia="ru-RU"/>
              </w:rPr>
              <w:t xml:space="preserve">2019 </w:t>
            </w:r>
            <w:r w:rsidR="00374884" w:rsidRPr="00C643B7">
              <w:rPr>
                <w:rFonts w:ascii="Times New Roman" w:eastAsia="Times New Roman" w:hAnsi="Times New Roman"/>
                <w:sz w:val="28"/>
                <w:szCs w:val="28"/>
                <w:shd w:val="clear" w:color="auto" w:fill="FFFFFF"/>
                <w:lang w:eastAsia="ru-RU"/>
              </w:rPr>
              <w:t xml:space="preserve">року </w:t>
            </w:r>
            <w:r w:rsidRPr="00C643B7">
              <w:rPr>
                <w:rFonts w:ascii="Times New Roman" w:eastAsia="Times New Roman" w:hAnsi="Times New Roman"/>
                <w:sz w:val="28"/>
                <w:szCs w:val="28"/>
                <w:shd w:val="clear" w:color="auto" w:fill="FFFFFF"/>
                <w:lang w:eastAsia="ru-RU"/>
              </w:rPr>
              <w:t>№ 980</w:t>
            </w:r>
            <w:r w:rsidR="00374884" w:rsidRPr="00C643B7">
              <w:rPr>
                <w:rFonts w:ascii="Times New Roman" w:eastAsia="Times New Roman" w:hAnsi="Times New Roman"/>
                <w:sz w:val="28"/>
                <w:szCs w:val="28"/>
                <w:shd w:val="clear" w:color="auto" w:fill="FFFFFF"/>
                <w:lang w:eastAsia="ru-RU"/>
              </w:rPr>
              <w:t xml:space="preserve">, зареєстрованим в Міністерстві юстиції України </w:t>
            </w:r>
            <w:r w:rsidR="0077697D" w:rsidRPr="00C643B7">
              <w:rPr>
                <w:rStyle w:val="rvts9"/>
                <w:rFonts w:ascii="Times New Roman" w:hAnsi="Times New Roman"/>
                <w:bCs/>
                <w:color w:val="333333"/>
                <w:sz w:val="28"/>
                <w:szCs w:val="28"/>
                <w:shd w:val="clear" w:color="auto" w:fill="FFFFFF"/>
              </w:rPr>
              <w:t>15 жовтня 2019 року за № 1113/34084</w:t>
            </w:r>
            <w:r w:rsidRPr="00C643B7">
              <w:rPr>
                <w:rFonts w:ascii="Times New Roman" w:eastAsia="Times New Roman" w:hAnsi="Times New Roman"/>
                <w:sz w:val="28"/>
                <w:szCs w:val="28"/>
                <w:shd w:val="clear" w:color="auto" w:fill="FFFFFF"/>
                <w:lang w:eastAsia="ru-RU"/>
              </w:rPr>
              <w:t>.</w:t>
            </w:r>
          </w:p>
        </w:tc>
        <w:tc>
          <w:tcPr>
            <w:tcW w:w="1843" w:type="dxa"/>
            <w:shd w:val="clear" w:color="auto" w:fill="auto"/>
          </w:tcPr>
          <w:p w:rsidR="000C7A91" w:rsidRPr="00C643B7" w:rsidRDefault="000C7A91" w:rsidP="004646FD">
            <w:pPr>
              <w:spacing w:line="240" w:lineRule="auto"/>
              <w:jc w:val="center"/>
              <w:rPr>
                <w:rFonts w:ascii="Times New Roman" w:hAnsi="Times New Roman"/>
                <w:bCs/>
                <w:sz w:val="28"/>
                <w:szCs w:val="28"/>
              </w:rPr>
            </w:pPr>
            <w:r w:rsidRPr="00C643B7">
              <w:rPr>
                <w:rFonts w:ascii="Times New Roman" w:hAnsi="Times New Roman"/>
                <w:bCs/>
                <w:sz w:val="28"/>
                <w:szCs w:val="28"/>
              </w:rPr>
              <w:lastRenderedPageBreak/>
              <w:t>100</w:t>
            </w:r>
          </w:p>
        </w:tc>
      </w:tr>
    </w:tbl>
    <w:p w:rsidR="009E6AA5" w:rsidRPr="00C643B7" w:rsidRDefault="009E6AA5" w:rsidP="004646FD">
      <w:pPr>
        <w:spacing w:line="240" w:lineRule="auto"/>
        <w:rPr>
          <w:rFonts w:ascii="Times New Roman" w:hAnsi="Times New Roman"/>
          <w:sz w:val="28"/>
          <w:szCs w:val="28"/>
        </w:rPr>
      </w:pPr>
    </w:p>
    <w:p w:rsidR="0051714D" w:rsidRPr="00C643B7" w:rsidRDefault="00924242" w:rsidP="004646FD">
      <w:pPr>
        <w:spacing w:line="240" w:lineRule="auto"/>
        <w:jc w:val="center"/>
        <w:rPr>
          <w:rFonts w:ascii="Times New Roman" w:hAnsi="Times New Roman"/>
          <w:sz w:val="28"/>
          <w:szCs w:val="28"/>
        </w:rPr>
      </w:pPr>
      <w:r w:rsidRPr="00C643B7">
        <w:rPr>
          <w:rFonts w:ascii="Times New Roman" w:hAnsi="Times New Roman"/>
          <w:sz w:val="28"/>
          <w:szCs w:val="28"/>
        </w:rPr>
        <w:t xml:space="preserve">Пояснення до </w:t>
      </w:r>
      <w:r w:rsidR="00403416" w:rsidRPr="00C643B7">
        <w:rPr>
          <w:rFonts w:ascii="Times New Roman" w:hAnsi="Times New Roman"/>
          <w:bCs/>
          <w:color w:val="000000"/>
          <w:sz w:val="28"/>
          <w:szCs w:val="28"/>
          <w:shd w:val="clear" w:color="auto" w:fill="FFFFFF"/>
        </w:rPr>
        <w:t>критеріїв</w:t>
      </w:r>
      <w:r w:rsidRPr="00C643B7">
        <w:rPr>
          <w:rFonts w:ascii="Times New Roman" w:hAnsi="Times New Roman"/>
          <w:bCs/>
          <w:color w:val="000000"/>
          <w:sz w:val="28"/>
          <w:szCs w:val="28"/>
          <w:shd w:val="clear" w:color="auto" w:fill="FFFFFF"/>
        </w:rPr>
        <w:t xml:space="preserve"> оцінки ступеню ризику фінансової компанії, юридичної особи, яка не є фінансовою установою, але має право надавати послуги з фінансового лізингу (лізингодавця), ломбарду</w:t>
      </w:r>
    </w:p>
    <w:p w:rsidR="0051714D" w:rsidRPr="00C643B7" w:rsidRDefault="00924242" w:rsidP="004646FD">
      <w:pPr>
        <w:pStyle w:val="a6"/>
        <w:numPr>
          <w:ilvl w:val="0"/>
          <w:numId w:val="13"/>
        </w:numPr>
        <w:spacing w:line="240" w:lineRule="auto"/>
        <w:ind w:left="0" w:firstLine="567"/>
        <w:jc w:val="both"/>
        <w:rPr>
          <w:rFonts w:ascii="Times New Roman" w:hAnsi="Times New Roman"/>
          <w:bCs/>
          <w:color w:val="000000" w:themeColor="text1"/>
          <w:sz w:val="28"/>
          <w:szCs w:val="28"/>
          <w:shd w:val="clear" w:color="auto" w:fill="FFFFFF"/>
          <w:lang w:val="uk-UA"/>
        </w:rPr>
      </w:pPr>
      <w:r w:rsidRPr="00C643B7">
        <w:rPr>
          <w:rFonts w:ascii="Times New Roman" w:hAnsi="Times New Roman"/>
          <w:color w:val="000000" w:themeColor="text1"/>
          <w:sz w:val="28"/>
          <w:szCs w:val="28"/>
          <w:lang w:val="uk-UA"/>
        </w:rPr>
        <w:t>Для цілей цього додатку термін «Учасник» означає фінансова компанія</w:t>
      </w:r>
      <w:r w:rsidRPr="00C643B7">
        <w:rPr>
          <w:rFonts w:ascii="Times New Roman" w:hAnsi="Times New Roman"/>
          <w:bCs/>
          <w:color w:val="000000" w:themeColor="text1"/>
          <w:sz w:val="28"/>
          <w:szCs w:val="28"/>
          <w:shd w:val="clear" w:color="auto" w:fill="FFFFFF"/>
          <w:lang w:val="uk-UA"/>
        </w:rPr>
        <w:t>, юридична особа, яка не є фінансовою установою, але має право надавати послуги з фінансового лізингу (лізингодавець), ломбард.</w:t>
      </w:r>
    </w:p>
    <w:p w:rsidR="00924242" w:rsidRPr="00C643B7" w:rsidRDefault="00924242" w:rsidP="004646FD">
      <w:pPr>
        <w:spacing w:line="240" w:lineRule="auto"/>
        <w:rPr>
          <w:rFonts w:ascii="Times New Roman" w:hAnsi="Times New Roman"/>
          <w:bCs/>
          <w:color w:val="000000" w:themeColor="text1"/>
          <w:sz w:val="28"/>
          <w:szCs w:val="28"/>
          <w:shd w:val="clear" w:color="auto" w:fill="FFFFFF"/>
        </w:rPr>
      </w:pPr>
    </w:p>
    <w:p w:rsidR="00924242" w:rsidRPr="00C643B7" w:rsidRDefault="00924242" w:rsidP="004646FD">
      <w:pPr>
        <w:spacing w:line="240" w:lineRule="auto"/>
        <w:rPr>
          <w:rFonts w:ascii="Times New Roman" w:hAnsi="Times New Roman"/>
          <w:sz w:val="28"/>
          <w:szCs w:val="28"/>
        </w:rPr>
        <w:sectPr w:rsidR="00924242" w:rsidRPr="00C643B7" w:rsidSect="00A644A9">
          <w:pgSz w:w="21633" w:h="11906" w:orient="landscape"/>
          <w:pgMar w:top="1701" w:right="2071" w:bottom="850" w:left="1134" w:header="708" w:footer="708" w:gutter="0"/>
          <w:pgNumType w:start="1"/>
          <w:cols w:space="708"/>
          <w:titlePg/>
          <w:docGrid w:linePitch="360"/>
        </w:sectPr>
      </w:pPr>
    </w:p>
    <w:tbl>
      <w:tblPr>
        <w:tblW w:w="13467" w:type="dxa"/>
        <w:tblInd w:w="-318" w:type="dxa"/>
        <w:tblLayout w:type="fixed"/>
        <w:tblLook w:val="04A0" w:firstRow="1" w:lastRow="0" w:firstColumn="1" w:lastColumn="0" w:noHBand="0" w:noVBand="1"/>
      </w:tblPr>
      <w:tblGrid>
        <w:gridCol w:w="984"/>
        <w:gridCol w:w="4403"/>
        <w:gridCol w:w="1420"/>
        <w:gridCol w:w="6660"/>
      </w:tblGrid>
      <w:tr w:rsidR="005469BF" w:rsidRPr="00C643B7" w:rsidTr="005469BF">
        <w:trPr>
          <w:trHeight w:val="1245"/>
        </w:trPr>
        <w:tc>
          <w:tcPr>
            <w:tcW w:w="13467" w:type="dxa"/>
            <w:gridSpan w:val="4"/>
            <w:tcBorders>
              <w:top w:val="nil"/>
              <w:left w:val="nil"/>
              <w:bottom w:val="nil"/>
              <w:right w:val="nil"/>
            </w:tcBorders>
            <w:shd w:val="clear" w:color="auto" w:fill="auto"/>
            <w:vAlign w:val="center"/>
            <w:hideMark/>
          </w:tcPr>
          <w:p w:rsidR="005469BF" w:rsidRPr="00C643B7" w:rsidRDefault="005469BF" w:rsidP="004646FD">
            <w:pPr>
              <w:pStyle w:val="a6"/>
              <w:spacing w:after="0" w:line="240" w:lineRule="auto"/>
              <w:ind w:left="6549"/>
              <w:jc w:val="both"/>
              <w:rPr>
                <w:rFonts w:ascii="Times New Roman" w:hAnsi="Times New Roman"/>
                <w:sz w:val="28"/>
                <w:szCs w:val="28"/>
                <w:lang w:val="uk-UA"/>
              </w:rPr>
            </w:pPr>
            <w:r w:rsidRPr="00C643B7">
              <w:rPr>
                <w:rFonts w:ascii="Times New Roman" w:hAnsi="Times New Roman"/>
                <w:sz w:val="28"/>
                <w:szCs w:val="28"/>
                <w:lang w:val="uk-UA"/>
              </w:rPr>
              <w:lastRenderedPageBreak/>
              <w:t>Додаток 4</w:t>
            </w:r>
          </w:p>
          <w:p w:rsidR="004A7C7C" w:rsidRPr="00C643B7" w:rsidRDefault="004A7C7C" w:rsidP="004646FD">
            <w:pPr>
              <w:keepNext/>
              <w:spacing w:after="0" w:line="240" w:lineRule="auto"/>
              <w:ind w:left="6549"/>
              <w:jc w:val="both"/>
              <w:outlineLvl w:val="2"/>
              <w:rPr>
                <w:rFonts w:ascii="Times New Roman" w:eastAsia="Times New Roman" w:hAnsi="Times New Roman"/>
                <w:b/>
                <w:bCs/>
                <w:color w:val="000000"/>
                <w:sz w:val="28"/>
                <w:szCs w:val="28"/>
                <w:lang w:eastAsia="uk-UA"/>
              </w:rPr>
            </w:pPr>
            <w:r w:rsidRPr="00C643B7">
              <w:rPr>
                <w:rFonts w:ascii="Times New Roman" w:hAnsi="Times New Roman"/>
                <w:sz w:val="28"/>
                <w:szCs w:val="28"/>
              </w:rPr>
              <w:t xml:space="preserve">до </w:t>
            </w:r>
            <w:r w:rsidRPr="00C643B7">
              <w:rPr>
                <w:rFonts w:ascii="Times New Roman" w:eastAsia="Times New Roman" w:hAnsi="Times New Roman"/>
                <w:bCs/>
                <w:color w:val="000000"/>
                <w:sz w:val="28"/>
                <w:szCs w:val="28"/>
                <w:lang w:eastAsia="uk-UA"/>
              </w:rPr>
              <w:t>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p>
          <w:p w:rsidR="005469BF" w:rsidRPr="00C643B7" w:rsidRDefault="005469BF" w:rsidP="004646FD">
            <w:pPr>
              <w:pStyle w:val="a6"/>
              <w:spacing w:line="240" w:lineRule="auto"/>
              <w:ind w:left="6589"/>
              <w:jc w:val="both"/>
              <w:rPr>
                <w:rFonts w:ascii="Times New Roman" w:hAnsi="Times New Roman"/>
                <w:b/>
                <w:bCs/>
                <w:color w:val="000000"/>
                <w:sz w:val="28"/>
                <w:szCs w:val="28"/>
                <w:shd w:val="clear" w:color="auto" w:fill="FFFFFF"/>
                <w:lang w:val="uk-UA"/>
              </w:rPr>
            </w:pPr>
            <w:r w:rsidRPr="00C643B7">
              <w:rPr>
                <w:rFonts w:ascii="Times New Roman" w:hAnsi="Times New Roman"/>
                <w:sz w:val="28"/>
                <w:szCs w:val="28"/>
                <w:lang w:val="uk-UA"/>
              </w:rPr>
              <w:t>(пункт 19 розділу II)</w:t>
            </w:r>
          </w:p>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sz w:val="28"/>
                <w:szCs w:val="28"/>
              </w:rPr>
              <w:t>Критерії для визначення суспільної важливості страховика</w:t>
            </w:r>
          </w:p>
        </w:tc>
      </w:tr>
      <w:tr w:rsidR="005469BF" w:rsidRPr="00C643B7" w:rsidTr="005469BF">
        <w:trPr>
          <w:trHeight w:val="1200"/>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9BF" w:rsidRPr="00C643B7" w:rsidRDefault="0049752C" w:rsidP="004646FD">
            <w:pPr>
              <w:spacing w:line="240" w:lineRule="auto"/>
              <w:ind w:left="-74"/>
              <w:jc w:val="center"/>
              <w:rPr>
                <w:rFonts w:ascii="Times New Roman" w:hAnsi="Times New Roman"/>
                <w:color w:val="000000"/>
                <w:sz w:val="28"/>
                <w:szCs w:val="28"/>
              </w:rPr>
            </w:pPr>
            <w:r w:rsidRPr="00C643B7">
              <w:rPr>
                <w:rFonts w:ascii="Times New Roman" w:hAnsi="Times New Roman"/>
                <w:color w:val="000000"/>
                <w:sz w:val="28"/>
                <w:szCs w:val="28"/>
              </w:rPr>
              <w:t>№</w:t>
            </w:r>
          </w:p>
          <w:p w:rsidR="0049752C" w:rsidRPr="00C643B7" w:rsidRDefault="0049752C" w:rsidP="004646FD">
            <w:pPr>
              <w:spacing w:line="240" w:lineRule="auto"/>
              <w:ind w:left="-74"/>
              <w:jc w:val="center"/>
              <w:rPr>
                <w:rFonts w:ascii="Times New Roman" w:hAnsi="Times New Roman"/>
                <w:color w:val="000000"/>
                <w:sz w:val="28"/>
                <w:szCs w:val="28"/>
              </w:rPr>
            </w:pPr>
            <w:r w:rsidRPr="00C643B7">
              <w:rPr>
                <w:rFonts w:ascii="Times New Roman" w:hAnsi="Times New Roman"/>
                <w:color w:val="000000"/>
                <w:sz w:val="28"/>
                <w:szCs w:val="28"/>
              </w:rPr>
              <w:t>з/п</w:t>
            </w:r>
          </w:p>
        </w:tc>
        <w:tc>
          <w:tcPr>
            <w:tcW w:w="4403" w:type="dxa"/>
            <w:tcBorders>
              <w:top w:val="single" w:sz="4" w:space="0" w:color="auto"/>
              <w:left w:val="nil"/>
              <w:bottom w:val="single" w:sz="4" w:space="0" w:color="auto"/>
              <w:right w:val="single" w:sz="4" w:space="0" w:color="auto"/>
            </w:tcBorders>
            <w:shd w:val="clear" w:color="auto" w:fill="auto"/>
            <w:noWrap/>
            <w:vAlign w:val="center"/>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 xml:space="preserve">Показники розподілу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sz w:val="28"/>
                <w:szCs w:val="28"/>
              </w:rPr>
              <w:t>Вага показника, %</w:t>
            </w: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Суспільна важливість</w:t>
            </w:r>
            <w:r w:rsidRPr="00C643B7">
              <w:rPr>
                <w:rFonts w:ascii="Times New Roman" w:hAnsi="Times New Roman"/>
                <w:color w:val="000000"/>
                <w:sz w:val="28"/>
                <w:szCs w:val="28"/>
              </w:rPr>
              <w:br/>
              <w:t>(групи)</w:t>
            </w:r>
          </w:p>
        </w:tc>
      </w:tr>
    </w:tbl>
    <w:p w:rsidR="00A80BA3" w:rsidRPr="00C643B7" w:rsidRDefault="00A80BA3" w:rsidP="004646FD">
      <w:pPr>
        <w:spacing w:after="0" w:line="240" w:lineRule="auto"/>
        <w:rPr>
          <w:sz w:val="2"/>
        </w:rPr>
      </w:pPr>
    </w:p>
    <w:tbl>
      <w:tblPr>
        <w:tblW w:w="13467" w:type="dxa"/>
        <w:tblInd w:w="-323" w:type="dxa"/>
        <w:tblLayout w:type="fixed"/>
        <w:tblLook w:val="04A0" w:firstRow="1" w:lastRow="0" w:firstColumn="1" w:lastColumn="0" w:noHBand="0" w:noVBand="1"/>
      </w:tblPr>
      <w:tblGrid>
        <w:gridCol w:w="984"/>
        <w:gridCol w:w="4403"/>
        <w:gridCol w:w="1420"/>
        <w:gridCol w:w="3508"/>
        <w:gridCol w:w="3152"/>
      </w:tblGrid>
      <w:tr w:rsidR="005469BF" w:rsidRPr="00C643B7" w:rsidTr="00A80BA3">
        <w:trPr>
          <w:trHeight w:val="660"/>
          <w:tblHead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69BF" w:rsidRPr="00C643B7" w:rsidRDefault="0049752C" w:rsidP="004646FD">
            <w:pPr>
              <w:spacing w:line="240" w:lineRule="auto"/>
              <w:ind w:left="-924" w:firstLine="850"/>
              <w:jc w:val="center"/>
              <w:rPr>
                <w:rFonts w:ascii="Times New Roman" w:hAnsi="Times New Roman"/>
                <w:color w:val="000000" w:themeColor="text1"/>
                <w:sz w:val="28"/>
                <w:szCs w:val="28"/>
              </w:rPr>
            </w:pPr>
            <w:r w:rsidRPr="00C643B7">
              <w:rPr>
                <w:rFonts w:ascii="Times New Roman" w:hAnsi="Times New Roman"/>
                <w:color w:val="000000" w:themeColor="text1"/>
                <w:sz w:val="28"/>
                <w:szCs w:val="28"/>
              </w:rPr>
              <w:t>1</w:t>
            </w:r>
          </w:p>
        </w:tc>
        <w:tc>
          <w:tcPr>
            <w:tcW w:w="4403" w:type="dxa"/>
            <w:tcBorders>
              <w:top w:val="single" w:sz="4" w:space="0" w:color="auto"/>
              <w:left w:val="nil"/>
              <w:bottom w:val="single" w:sz="4" w:space="0" w:color="auto"/>
              <w:right w:val="single" w:sz="4" w:space="0" w:color="auto"/>
            </w:tcBorders>
            <w:shd w:val="clear" w:color="auto" w:fill="auto"/>
            <w:noWrap/>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c>
          <w:tcPr>
            <w:tcW w:w="1420" w:type="dxa"/>
            <w:tcBorders>
              <w:top w:val="single" w:sz="4" w:space="0" w:color="auto"/>
              <w:left w:val="nil"/>
              <w:bottom w:val="single" w:sz="4" w:space="0" w:color="auto"/>
              <w:right w:val="single" w:sz="4" w:space="0" w:color="auto"/>
            </w:tcBorders>
            <w:shd w:val="clear" w:color="auto" w:fill="auto"/>
            <w:vAlign w:val="center"/>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6660" w:type="dxa"/>
            <w:gridSpan w:val="2"/>
            <w:tcBorders>
              <w:top w:val="single" w:sz="4" w:space="0" w:color="auto"/>
              <w:left w:val="nil"/>
              <w:bottom w:val="single" w:sz="4" w:space="0" w:color="auto"/>
              <w:right w:val="single" w:sz="4" w:space="0" w:color="auto"/>
            </w:tcBorders>
            <w:shd w:val="clear" w:color="auto" w:fill="auto"/>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r>
      <w:tr w:rsidR="005469BF" w:rsidRPr="00C643B7" w:rsidTr="00A80BA3">
        <w:trPr>
          <w:trHeight w:val="300"/>
        </w:trPr>
        <w:tc>
          <w:tcPr>
            <w:tcW w:w="984" w:type="dxa"/>
            <w:vMerge w:val="restart"/>
            <w:tcBorders>
              <w:top w:val="nil"/>
              <w:left w:val="single" w:sz="4" w:space="0" w:color="auto"/>
              <w:right w:val="single" w:sz="4" w:space="0" w:color="auto"/>
            </w:tcBorders>
            <w:shd w:val="clear" w:color="auto" w:fill="auto"/>
            <w:vAlign w:val="center"/>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w:t>
            </w:r>
          </w:p>
        </w:tc>
        <w:tc>
          <w:tcPr>
            <w:tcW w:w="4403" w:type="dxa"/>
            <w:vMerge w:val="restart"/>
            <w:tcBorders>
              <w:top w:val="nil"/>
              <w:left w:val="single" w:sz="4" w:space="0" w:color="auto"/>
              <w:right w:val="single" w:sz="4" w:space="0" w:color="auto"/>
            </w:tcBorders>
            <w:shd w:val="clear" w:color="auto" w:fill="auto"/>
            <w:vAlign w:val="center"/>
            <w:hideMark/>
          </w:tcPr>
          <w:p w:rsidR="005469BF" w:rsidRPr="00C643B7" w:rsidRDefault="005469BF"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 xml:space="preserve">Частка чистих страхових премій в  загальному обсязі  чистих страхових премій або частка довгострокових резервів у страхових резервах зі страхування життя </w:t>
            </w:r>
          </w:p>
        </w:tc>
        <w:tc>
          <w:tcPr>
            <w:tcW w:w="1420" w:type="dxa"/>
            <w:vMerge w:val="restart"/>
            <w:tcBorders>
              <w:top w:val="nil"/>
              <w:left w:val="single" w:sz="4" w:space="0" w:color="auto"/>
              <w:right w:val="single" w:sz="4" w:space="0" w:color="auto"/>
            </w:tcBorders>
            <w:shd w:val="clear" w:color="auto" w:fill="auto"/>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30</w:t>
            </w:r>
          </w:p>
        </w:tc>
        <w:tc>
          <w:tcPr>
            <w:tcW w:w="3508"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3%</w:t>
            </w:r>
            <w:r w:rsidR="00F11073" w:rsidRPr="00C643B7">
              <w:rPr>
                <w:rFonts w:ascii="Times New Roman" w:hAnsi="Times New Roman"/>
                <w:sz w:val="28"/>
                <w:szCs w:val="28"/>
              </w:rPr>
              <w:t xml:space="preserve"> </w:t>
            </w:r>
            <w:r w:rsidR="001C783D" w:rsidRPr="00C643B7">
              <w:rPr>
                <w:rFonts w:ascii="Times New Roman" w:hAnsi="Times New Roman"/>
                <w:sz w:val="28"/>
                <w:szCs w:val="28"/>
              </w:rPr>
              <w:t>(</w:t>
            </w:r>
            <w:r w:rsidR="00403416" w:rsidRPr="00C643B7">
              <w:rPr>
                <w:rFonts w:ascii="Times New Roman" w:hAnsi="Times New Roman"/>
                <w:sz w:val="28"/>
                <w:szCs w:val="28"/>
              </w:rPr>
              <w:t>включно</w:t>
            </w:r>
            <w:r w:rsidR="001C783D" w:rsidRPr="00C643B7">
              <w:rPr>
                <w:rFonts w:ascii="Times New Roman" w:hAnsi="Times New Roman"/>
                <w:sz w:val="28"/>
                <w:szCs w:val="28"/>
              </w:rPr>
              <w:t xml:space="preserve">) </w:t>
            </w:r>
            <w:r w:rsidR="00F11073" w:rsidRPr="00C643B7">
              <w:rPr>
                <w:rFonts w:ascii="Times New Roman" w:hAnsi="Times New Roman"/>
                <w:sz w:val="28"/>
                <w:szCs w:val="28"/>
              </w:rPr>
              <w:t>і більше</w:t>
            </w:r>
          </w:p>
        </w:tc>
        <w:tc>
          <w:tcPr>
            <w:tcW w:w="3152"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r>
      <w:tr w:rsidR="005469BF" w:rsidRPr="00C643B7" w:rsidTr="00A80BA3">
        <w:trPr>
          <w:trHeight w:val="375"/>
        </w:trPr>
        <w:tc>
          <w:tcPr>
            <w:tcW w:w="984" w:type="dxa"/>
            <w:vMerge/>
            <w:tcBorders>
              <w:left w:val="single" w:sz="4" w:space="0" w:color="auto"/>
              <w:right w:val="single" w:sz="4" w:space="0" w:color="auto"/>
            </w:tcBorders>
            <w:vAlign w:val="center"/>
            <w:hideMark/>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від 2% (включно) до 3%</w:t>
            </w:r>
          </w:p>
        </w:tc>
        <w:tc>
          <w:tcPr>
            <w:tcW w:w="3152"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r>
      <w:tr w:rsidR="005469BF" w:rsidRPr="00C643B7" w:rsidTr="00A80BA3">
        <w:trPr>
          <w:trHeight w:val="511"/>
        </w:trPr>
        <w:tc>
          <w:tcPr>
            <w:tcW w:w="984" w:type="dxa"/>
            <w:vMerge/>
            <w:tcBorders>
              <w:left w:val="single" w:sz="4" w:space="0" w:color="auto"/>
              <w:right w:val="single" w:sz="4" w:space="0" w:color="auto"/>
            </w:tcBorders>
            <w:vAlign w:val="center"/>
            <w:hideMark/>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від 0.5% (включно) до 2%</w:t>
            </w:r>
          </w:p>
        </w:tc>
        <w:tc>
          <w:tcPr>
            <w:tcW w:w="3152"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r>
      <w:tr w:rsidR="005469BF" w:rsidRPr="00C643B7" w:rsidTr="00A80BA3">
        <w:trPr>
          <w:trHeight w:val="511"/>
        </w:trPr>
        <w:tc>
          <w:tcPr>
            <w:tcW w:w="984"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менше 0.5%</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4</w:t>
            </w:r>
          </w:p>
        </w:tc>
      </w:tr>
      <w:tr w:rsidR="005469BF" w:rsidRPr="00C643B7" w:rsidTr="00A80BA3">
        <w:trPr>
          <w:trHeight w:val="405"/>
        </w:trPr>
        <w:tc>
          <w:tcPr>
            <w:tcW w:w="984" w:type="dxa"/>
            <w:vMerge w:val="restart"/>
            <w:tcBorders>
              <w:top w:val="nil"/>
              <w:left w:val="single" w:sz="4" w:space="0" w:color="auto"/>
              <w:right w:val="single" w:sz="4" w:space="0" w:color="auto"/>
            </w:tcBorders>
            <w:shd w:val="clear" w:color="auto" w:fill="auto"/>
            <w:vAlign w:val="center"/>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c>
          <w:tcPr>
            <w:tcW w:w="4403" w:type="dxa"/>
            <w:vMerge w:val="restart"/>
            <w:tcBorders>
              <w:top w:val="nil"/>
              <w:left w:val="single" w:sz="4" w:space="0" w:color="auto"/>
              <w:right w:val="single" w:sz="4" w:space="0" w:color="auto"/>
            </w:tcBorders>
            <w:shd w:val="clear" w:color="auto" w:fill="auto"/>
            <w:vAlign w:val="center"/>
            <w:hideMark/>
          </w:tcPr>
          <w:p w:rsidR="005469BF" w:rsidRPr="00C643B7" w:rsidRDefault="005469BF"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 xml:space="preserve">Частка страхових премій (валових) </w:t>
            </w:r>
            <w:r w:rsidR="00615788" w:rsidRPr="00C643B7">
              <w:rPr>
                <w:rFonts w:ascii="Times New Roman" w:hAnsi="Times New Roman"/>
                <w:color w:val="000000"/>
                <w:sz w:val="28"/>
                <w:szCs w:val="28"/>
              </w:rPr>
              <w:t>страховика</w:t>
            </w:r>
            <w:r w:rsidRPr="00C643B7">
              <w:rPr>
                <w:rFonts w:ascii="Times New Roman" w:hAnsi="Times New Roman"/>
                <w:color w:val="000000"/>
                <w:sz w:val="28"/>
                <w:szCs w:val="28"/>
              </w:rPr>
              <w:t>, нарахованих за договорами  страхування укладеними зі страхувальниками фізичними особами, у валових страхових преміях, отриманих протягом періоду оцінки</w:t>
            </w:r>
          </w:p>
        </w:tc>
        <w:tc>
          <w:tcPr>
            <w:tcW w:w="1420" w:type="dxa"/>
            <w:vMerge w:val="restart"/>
            <w:tcBorders>
              <w:top w:val="nil"/>
              <w:left w:val="single" w:sz="4" w:space="0" w:color="auto"/>
              <w:right w:val="single" w:sz="4" w:space="0" w:color="auto"/>
            </w:tcBorders>
            <w:shd w:val="clear" w:color="auto" w:fill="auto"/>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25</w:t>
            </w:r>
          </w:p>
        </w:tc>
        <w:tc>
          <w:tcPr>
            <w:tcW w:w="3508"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60 %</w:t>
            </w:r>
            <w:r w:rsidR="00F11073" w:rsidRPr="00C643B7">
              <w:rPr>
                <w:rFonts w:ascii="Times New Roman" w:hAnsi="Times New Roman"/>
                <w:sz w:val="28"/>
                <w:szCs w:val="28"/>
              </w:rPr>
              <w:t xml:space="preserve"> </w:t>
            </w:r>
            <w:r w:rsidR="001C783D" w:rsidRPr="00C643B7">
              <w:rPr>
                <w:rFonts w:ascii="Times New Roman" w:hAnsi="Times New Roman"/>
                <w:sz w:val="28"/>
                <w:szCs w:val="28"/>
              </w:rPr>
              <w:t>(</w:t>
            </w:r>
            <w:r w:rsidR="00403416" w:rsidRPr="00C643B7">
              <w:rPr>
                <w:rFonts w:ascii="Times New Roman" w:hAnsi="Times New Roman"/>
                <w:sz w:val="28"/>
                <w:szCs w:val="28"/>
              </w:rPr>
              <w:t>включно</w:t>
            </w:r>
            <w:r w:rsidR="001C783D" w:rsidRPr="00C643B7">
              <w:rPr>
                <w:rFonts w:ascii="Times New Roman" w:hAnsi="Times New Roman"/>
                <w:sz w:val="28"/>
                <w:szCs w:val="28"/>
              </w:rPr>
              <w:t xml:space="preserve">) </w:t>
            </w:r>
            <w:r w:rsidR="00F11073" w:rsidRPr="00C643B7">
              <w:rPr>
                <w:rFonts w:ascii="Times New Roman" w:hAnsi="Times New Roman"/>
                <w:sz w:val="28"/>
                <w:szCs w:val="28"/>
              </w:rPr>
              <w:t>і більше</w:t>
            </w:r>
          </w:p>
        </w:tc>
        <w:tc>
          <w:tcPr>
            <w:tcW w:w="3152"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r>
      <w:tr w:rsidR="005469BF" w:rsidRPr="00C643B7" w:rsidTr="00A80BA3">
        <w:trPr>
          <w:trHeight w:val="540"/>
        </w:trPr>
        <w:tc>
          <w:tcPr>
            <w:tcW w:w="984" w:type="dxa"/>
            <w:vMerge/>
            <w:tcBorders>
              <w:left w:val="single" w:sz="4" w:space="0" w:color="auto"/>
              <w:right w:val="single" w:sz="4" w:space="0" w:color="auto"/>
            </w:tcBorders>
            <w:vAlign w:val="center"/>
            <w:hideMark/>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від 25 % (включно) до 60 %</w:t>
            </w:r>
          </w:p>
        </w:tc>
        <w:tc>
          <w:tcPr>
            <w:tcW w:w="3152"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r>
      <w:tr w:rsidR="005469BF" w:rsidRPr="00C643B7" w:rsidTr="00A80BA3">
        <w:trPr>
          <w:trHeight w:val="351"/>
        </w:trPr>
        <w:tc>
          <w:tcPr>
            <w:tcW w:w="984" w:type="dxa"/>
            <w:vMerge/>
            <w:tcBorders>
              <w:left w:val="single" w:sz="4" w:space="0" w:color="auto"/>
              <w:right w:val="single" w:sz="4" w:space="0" w:color="auto"/>
            </w:tcBorders>
            <w:vAlign w:val="center"/>
            <w:hideMark/>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від 5 % (включно) до 25%</w:t>
            </w:r>
          </w:p>
        </w:tc>
        <w:tc>
          <w:tcPr>
            <w:tcW w:w="3152" w:type="dxa"/>
            <w:tcBorders>
              <w:top w:val="nil"/>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r>
      <w:tr w:rsidR="005469BF" w:rsidRPr="00C643B7" w:rsidTr="00A80BA3">
        <w:trPr>
          <w:trHeight w:val="351"/>
        </w:trPr>
        <w:tc>
          <w:tcPr>
            <w:tcW w:w="984"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sz w:val="28"/>
                <w:szCs w:val="28"/>
              </w:rPr>
            </w:pPr>
            <w:r w:rsidRPr="00C643B7">
              <w:rPr>
                <w:rFonts w:ascii="Times New Roman" w:hAnsi="Times New Roman"/>
                <w:sz w:val="28"/>
                <w:szCs w:val="28"/>
              </w:rPr>
              <w:t>менше 5 %</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sz w:val="28"/>
                <w:szCs w:val="28"/>
              </w:rPr>
            </w:pPr>
            <w:r w:rsidRPr="00C643B7">
              <w:rPr>
                <w:rFonts w:ascii="Times New Roman" w:hAnsi="Times New Roman"/>
                <w:sz w:val="28"/>
                <w:szCs w:val="28"/>
              </w:rPr>
              <w:t>4</w:t>
            </w:r>
          </w:p>
        </w:tc>
      </w:tr>
      <w:tr w:rsidR="005469BF" w:rsidRPr="00C643B7" w:rsidTr="00A80BA3">
        <w:trPr>
          <w:trHeight w:val="351"/>
        </w:trPr>
        <w:tc>
          <w:tcPr>
            <w:tcW w:w="984" w:type="dxa"/>
            <w:vMerge w:val="restart"/>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c>
          <w:tcPr>
            <w:tcW w:w="4403" w:type="dxa"/>
            <w:vMerge w:val="restart"/>
            <w:tcBorders>
              <w:left w:val="single" w:sz="4" w:space="0" w:color="auto"/>
              <w:right w:val="single" w:sz="4" w:space="0" w:color="auto"/>
            </w:tcBorders>
            <w:vAlign w:val="center"/>
          </w:tcPr>
          <w:p w:rsidR="005469BF" w:rsidRPr="00C643B7" w:rsidRDefault="005469BF"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Балансова вартість активів страховика на останню звітну дату періоду оцінки (млн. грн.)</w:t>
            </w:r>
          </w:p>
        </w:tc>
        <w:tc>
          <w:tcPr>
            <w:tcW w:w="1420" w:type="dxa"/>
            <w:vMerge w:val="restart"/>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10</w:t>
            </w: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300 </w:t>
            </w:r>
            <w:r w:rsidR="001C783D" w:rsidRPr="00C643B7">
              <w:rPr>
                <w:rFonts w:ascii="Times New Roman" w:hAnsi="Times New Roman"/>
                <w:color w:val="000000"/>
                <w:sz w:val="28"/>
                <w:szCs w:val="28"/>
              </w:rPr>
              <w:t>(</w:t>
            </w:r>
            <w:r w:rsidR="00403416" w:rsidRPr="00C643B7">
              <w:rPr>
                <w:rFonts w:ascii="Times New Roman" w:hAnsi="Times New Roman"/>
                <w:color w:val="000000"/>
                <w:sz w:val="28"/>
                <w:szCs w:val="28"/>
              </w:rPr>
              <w:t>включно</w:t>
            </w:r>
            <w:r w:rsidR="001C783D" w:rsidRPr="00C643B7">
              <w:rPr>
                <w:rFonts w:ascii="Times New Roman" w:hAnsi="Times New Roman"/>
                <w:color w:val="000000"/>
                <w:sz w:val="28"/>
                <w:szCs w:val="28"/>
              </w:rPr>
              <w:t xml:space="preserve">) </w:t>
            </w:r>
            <w:r w:rsidRPr="00C643B7">
              <w:rPr>
                <w:rFonts w:ascii="Times New Roman" w:hAnsi="Times New Roman"/>
                <w:color w:val="000000"/>
                <w:sz w:val="28"/>
                <w:szCs w:val="28"/>
              </w:rPr>
              <w:t>і більше</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w:t>
            </w:r>
          </w:p>
        </w:tc>
      </w:tr>
      <w:tr w:rsidR="005469BF" w:rsidRPr="00C643B7" w:rsidTr="00A80BA3">
        <w:trPr>
          <w:trHeight w:val="351"/>
        </w:trPr>
        <w:tc>
          <w:tcPr>
            <w:tcW w:w="984"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100</w:t>
            </w:r>
            <w:r w:rsidR="00F11073" w:rsidRPr="00C643B7">
              <w:rPr>
                <w:rFonts w:ascii="Times New Roman" w:hAnsi="Times New Roman"/>
                <w:color w:val="000000"/>
                <w:sz w:val="28"/>
                <w:szCs w:val="28"/>
              </w:rPr>
              <w:t xml:space="preserve"> (включно)</w:t>
            </w:r>
            <w:r w:rsidRPr="00C643B7">
              <w:rPr>
                <w:rFonts w:ascii="Times New Roman" w:hAnsi="Times New Roman"/>
                <w:color w:val="000000"/>
                <w:sz w:val="28"/>
                <w:szCs w:val="28"/>
              </w:rPr>
              <w:t xml:space="preserve"> до 300</w:t>
            </w:r>
            <w:r w:rsidR="00F11073" w:rsidRPr="00C643B7">
              <w:rPr>
                <w:rFonts w:ascii="Times New Roman" w:hAnsi="Times New Roman"/>
                <w:color w:val="000000"/>
                <w:sz w:val="28"/>
                <w:szCs w:val="28"/>
              </w:rPr>
              <w:t xml:space="preserve"> </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r>
      <w:tr w:rsidR="005469BF" w:rsidRPr="00C643B7" w:rsidTr="00A80BA3">
        <w:trPr>
          <w:trHeight w:val="351"/>
        </w:trPr>
        <w:tc>
          <w:tcPr>
            <w:tcW w:w="984"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50</w:t>
            </w:r>
            <w:r w:rsidR="001C783D" w:rsidRPr="00C643B7">
              <w:rPr>
                <w:rFonts w:ascii="Times New Roman" w:hAnsi="Times New Roman"/>
                <w:color w:val="000000"/>
                <w:sz w:val="28"/>
                <w:szCs w:val="28"/>
              </w:rPr>
              <w:t xml:space="preserve"> (</w:t>
            </w:r>
            <w:r w:rsidR="00403416" w:rsidRPr="00C643B7">
              <w:rPr>
                <w:rFonts w:ascii="Times New Roman" w:hAnsi="Times New Roman"/>
                <w:color w:val="000000"/>
                <w:sz w:val="28"/>
                <w:szCs w:val="28"/>
              </w:rPr>
              <w:t>включно</w:t>
            </w:r>
            <w:r w:rsidR="001C783D" w:rsidRPr="00C643B7">
              <w:rPr>
                <w:rFonts w:ascii="Times New Roman" w:hAnsi="Times New Roman"/>
                <w:color w:val="000000"/>
                <w:sz w:val="28"/>
                <w:szCs w:val="28"/>
              </w:rPr>
              <w:t>)</w:t>
            </w:r>
            <w:r w:rsidRPr="00C643B7">
              <w:rPr>
                <w:rFonts w:ascii="Times New Roman" w:hAnsi="Times New Roman"/>
                <w:color w:val="000000"/>
                <w:sz w:val="28"/>
                <w:szCs w:val="28"/>
              </w:rPr>
              <w:t xml:space="preserve"> до 100 </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r>
      <w:tr w:rsidR="005469BF" w:rsidRPr="00C643B7" w:rsidTr="00A80BA3">
        <w:trPr>
          <w:trHeight w:val="351"/>
        </w:trPr>
        <w:tc>
          <w:tcPr>
            <w:tcW w:w="984"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менше 50</w:t>
            </w:r>
            <w:r w:rsidR="00665DFA" w:rsidRPr="00C643B7">
              <w:rPr>
                <w:rFonts w:ascii="Times New Roman" w:hAnsi="Times New Roman"/>
                <w:color w:val="000000"/>
                <w:sz w:val="28"/>
                <w:szCs w:val="28"/>
              </w:rPr>
              <w:t xml:space="preserve"> </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r>
      <w:tr w:rsidR="005469BF" w:rsidRPr="00C643B7" w:rsidTr="00A80BA3">
        <w:trPr>
          <w:trHeight w:val="300"/>
        </w:trPr>
        <w:tc>
          <w:tcPr>
            <w:tcW w:w="984" w:type="dxa"/>
            <w:vMerge w:val="restart"/>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c>
          <w:tcPr>
            <w:tcW w:w="4403" w:type="dxa"/>
            <w:vMerge w:val="restart"/>
            <w:tcBorders>
              <w:left w:val="single" w:sz="4" w:space="0" w:color="auto"/>
              <w:right w:val="single" w:sz="4" w:space="0" w:color="auto"/>
            </w:tcBorders>
            <w:vAlign w:val="center"/>
          </w:tcPr>
          <w:p w:rsidR="005469BF" w:rsidRPr="00C643B7" w:rsidRDefault="005469BF" w:rsidP="004646FD">
            <w:pPr>
              <w:spacing w:after="0" w:line="240" w:lineRule="auto"/>
              <w:rPr>
                <w:rFonts w:ascii="Times New Roman" w:hAnsi="Times New Roman"/>
                <w:color w:val="000000"/>
                <w:sz w:val="28"/>
                <w:szCs w:val="28"/>
              </w:rPr>
            </w:pPr>
            <w:r w:rsidRPr="00C643B7">
              <w:rPr>
                <w:rFonts w:ascii="Times New Roman" w:hAnsi="Times New Roman"/>
                <w:color w:val="000000"/>
                <w:sz w:val="28"/>
                <w:szCs w:val="28"/>
              </w:rPr>
              <w:t>Середній обсяг сформованих страхових резервів за період оцінки  на кожну звітну дату</w:t>
            </w:r>
          </w:p>
          <w:p w:rsidR="005469BF" w:rsidRPr="00C643B7" w:rsidRDefault="005469BF" w:rsidP="004646FD">
            <w:pPr>
              <w:spacing w:after="0" w:line="240" w:lineRule="auto"/>
              <w:jc w:val="both"/>
              <w:rPr>
                <w:rFonts w:ascii="Times New Roman" w:hAnsi="Times New Roman"/>
                <w:color w:val="000000"/>
                <w:sz w:val="28"/>
                <w:szCs w:val="28"/>
              </w:rPr>
            </w:pPr>
            <w:r w:rsidRPr="00C643B7">
              <w:rPr>
                <w:rFonts w:ascii="Times New Roman" w:hAnsi="Times New Roman"/>
                <w:color w:val="000000"/>
                <w:sz w:val="28"/>
                <w:szCs w:val="28"/>
              </w:rPr>
              <w:t>(млн. грн.)</w:t>
            </w:r>
          </w:p>
        </w:tc>
        <w:tc>
          <w:tcPr>
            <w:tcW w:w="1420" w:type="dxa"/>
            <w:vMerge w:val="restart"/>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30</w:t>
            </w: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403416"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Більше</w:t>
            </w:r>
            <w:r w:rsidR="001C783D" w:rsidRPr="00C643B7">
              <w:rPr>
                <w:rFonts w:ascii="Times New Roman" w:hAnsi="Times New Roman"/>
                <w:color w:val="000000"/>
                <w:sz w:val="28"/>
                <w:szCs w:val="28"/>
              </w:rPr>
              <w:t xml:space="preserve"> </w:t>
            </w:r>
            <w:r w:rsidR="005469BF" w:rsidRPr="00C643B7">
              <w:rPr>
                <w:rFonts w:ascii="Times New Roman" w:hAnsi="Times New Roman"/>
                <w:color w:val="000000"/>
                <w:sz w:val="28"/>
                <w:szCs w:val="28"/>
              </w:rPr>
              <w:t xml:space="preserve">200 </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w:t>
            </w:r>
          </w:p>
        </w:tc>
      </w:tr>
      <w:tr w:rsidR="005469BF" w:rsidRPr="00C643B7" w:rsidTr="00A80BA3">
        <w:trPr>
          <w:trHeight w:val="300"/>
        </w:trPr>
        <w:tc>
          <w:tcPr>
            <w:tcW w:w="984"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від 40 до 200 </w:t>
            </w:r>
            <w:r w:rsidR="00665DFA" w:rsidRPr="00C643B7">
              <w:rPr>
                <w:rFonts w:ascii="Times New Roman" w:hAnsi="Times New Roman"/>
                <w:color w:val="000000"/>
                <w:sz w:val="28"/>
                <w:szCs w:val="28"/>
              </w:rPr>
              <w:t>(включно)</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r>
      <w:tr w:rsidR="005469BF" w:rsidRPr="00C643B7" w:rsidTr="00A80BA3">
        <w:trPr>
          <w:trHeight w:val="300"/>
        </w:trPr>
        <w:tc>
          <w:tcPr>
            <w:tcW w:w="984"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від 20 до 40 </w:t>
            </w:r>
            <w:r w:rsidR="00665DFA" w:rsidRPr="00C643B7">
              <w:rPr>
                <w:rFonts w:ascii="Times New Roman" w:hAnsi="Times New Roman"/>
                <w:color w:val="000000"/>
                <w:sz w:val="28"/>
                <w:szCs w:val="28"/>
              </w:rPr>
              <w:t>(включно)</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r>
      <w:tr w:rsidR="005469BF" w:rsidRPr="00C643B7" w:rsidTr="00A80BA3">
        <w:trPr>
          <w:trHeight w:val="300"/>
        </w:trPr>
        <w:tc>
          <w:tcPr>
            <w:tcW w:w="984"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4403"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left w:val="single" w:sz="4" w:space="0" w:color="auto"/>
              <w:bottom w:val="single" w:sz="4" w:space="0" w:color="auto"/>
              <w:right w:val="single" w:sz="4" w:space="0" w:color="auto"/>
            </w:tcBorders>
            <w:vAlign w:val="center"/>
          </w:tcPr>
          <w:p w:rsidR="005469BF" w:rsidRPr="00C643B7" w:rsidRDefault="005469BF" w:rsidP="004646FD">
            <w:pPr>
              <w:spacing w:line="240" w:lineRule="auto"/>
              <w:jc w:val="center"/>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менше </w:t>
            </w:r>
            <w:r w:rsidRPr="00C643B7">
              <w:rPr>
                <w:rFonts w:ascii="Times New Roman" w:hAnsi="Times New Roman"/>
                <w:sz w:val="28"/>
                <w:szCs w:val="28"/>
              </w:rPr>
              <w:t xml:space="preserve">20 </w:t>
            </w:r>
            <w:r w:rsidR="00665DFA" w:rsidRPr="00C643B7">
              <w:rPr>
                <w:rFonts w:ascii="Times New Roman" w:hAnsi="Times New Roman"/>
                <w:color w:val="000000"/>
                <w:sz w:val="28"/>
                <w:szCs w:val="28"/>
              </w:rPr>
              <w:t>(включно)</w:t>
            </w:r>
          </w:p>
        </w:tc>
        <w:tc>
          <w:tcPr>
            <w:tcW w:w="3152" w:type="dxa"/>
            <w:tcBorders>
              <w:top w:val="nil"/>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r>
      <w:tr w:rsidR="005469BF" w:rsidRPr="00C643B7" w:rsidTr="00A80BA3">
        <w:trPr>
          <w:trHeight w:val="300"/>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5</w:t>
            </w:r>
          </w:p>
        </w:tc>
        <w:tc>
          <w:tcPr>
            <w:tcW w:w="4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69BF" w:rsidRPr="00C643B7" w:rsidRDefault="005469BF"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Розгалуженість мережі страховика (кількість відокремлених підрозділів) (одиниць)</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5</w:t>
            </w:r>
          </w:p>
        </w:tc>
        <w:tc>
          <w:tcPr>
            <w:tcW w:w="3508" w:type="dxa"/>
            <w:tcBorders>
              <w:top w:val="single" w:sz="4" w:space="0" w:color="auto"/>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більше 5</w:t>
            </w:r>
          </w:p>
        </w:tc>
        <w:tc>
          <w:tcPr>
            <w:tcW w:w="3152" w:type="dxa"/>
            <w:tcBorders>
              <w:top w:val="single" w:sz="4" w:space="0" w:color="auto"/>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w:t>
            </w:r>
          </w:p>
        </w:tc>
      </w:tr>
      <w:tr w:rsidR="005469BF" w:rsidRPr="00C643B7" w:rsidTr="00A80BA3">
        <w:trPr>
          <w:trHeight w:val="300"/>
        </w:trPr>
        <w:tc>
          <w:tcPr>
            <w:tcW w:w="984" w:type="dxa"/>
            <w:vMerge/>
            <w:tcBorders>
              <w:top w:val="single" w:sz="4" w:space="0" w:color="auto"/>
              <w:left w:val="single" w:sz="4" w:space="0" w:color="auto"/>
              <w:bottom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4403" w:type="dxa"/>
            <w:vMerge/>
            <w:tcBorders>
              <w:top w:val="single" w:sz="4" w:space="0" w:color="auto"/>
              <w:left w:val="single" w:sz="4" w:space="0" w:color="auto"/>
              <w:bottom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3508" w:type="dxa"/>
            <w:tcBorders>
              <w:top w:val="single" w:sz="4" w:space="0" w:color="auto"/>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3 і до 5 (включно)</w:t>
            </w:r>
          </w:p>
        </w:tc>
        <w:tc>
          <w:tcPr>
            <w:tcW w:w="3152" w:type="dxa"/>
            <w:tcBorders>
              <w:top w:val="single" w:sz="4" w:space="0" w:color="auto"/>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r>
      <w:tr w:rsidR="005469BF" w:rsidRPr="00C643B7" w:rsidTr="00A80BA3">
        <w:trPr>
          <w:trHeight w:val="300"/>
        </w:trPr>
        <w:tc>
          <w:tcPr>
            <w:tcW w:w="984" w:type="dxa"/>
            <w:vMerge/>
            <w:tcBorders>
              <w:top w:val="single" w:sz="4" w:space="0" w:color="auto"/>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4403" w:type="dxa"/>
            <w:vMerge/>
            <w:tcBorders>
              <w:top w:val="single" w:sz="4" w:space="0" w:color="auto"/>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3508" w:type="dxa"/>
            <w:tcBorders>
              <w:top w:val="single" w:sz="4" w:space="0" w:color="auto"/>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1 до 3 (включно)</w:t>
            </w:r>
          </w:p>
        </w:tc>
        <w:tc>
          <w:tcPr>
            <w:tcW w:w="3152" w:type="dxa"/>
            <w:tcBorders>
              <w:top w:val="single" w:sz="4" w:space="0" w:color="auto"/>
              <w:left w:val="nil"/>
              <w:bottom w:val="single" w:sz="4" w:space="0" w:color="auto"/>
              <w:right w:val="single" w:sz="4" w:space="0" w:color="auto"/>
            </w:tcBorders>
            <w:shd w:val="clear" w:color="auto" w:fill="auto"/>
            <w:noWrap/>
            <w:vAlign w:val="bottom"/>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r>
      <w:tr w:rsidR="005469BF" w:rsidRPr="00C643B7" w:rsidTr="00A80BA3">
        <w:trPr>
          <w:trHeight w:val="300"/>
        </w:trPr>
        <w:tc>
          <w:tcPr>
            <w:tcW w:w="984" w:type="dxa"/>
            <w:vMerge/>
            <w:tcBorders>
              <w:top w:val="single" w:sz="4" w:space="0" w:color="auto"/>
              <w:left w:val="single" w:sz="4" w:space="0" w:color="auto"/>
              <w:bottom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4403" w:type="dxa"/>
            <w:vMerge/>
            <w:tcBorders>
              <w:top w:val="single" w:sz="4" w:space="0" w:color="auto"/>
              <w:left w:val="single" w:sz="4" w:space="0" w:color="auto"/>
              <w:bottom w:val="single" w:sz="4" w:space="0" w:color="auto"/>
              <w:right w:val="single" w:sz="4" w:space="0" w:color="auto"/>
            </w:tcBorders>
            <w:vAlign w:val="center"/>
            <w:hideMark/>
          </w:tcPr>
          <w:p w:rsidR="005469BF" w:rsidRPr="00C643B7" w:rsidRDefault="005469BF" w:rsidP="004646FD">
            <w:pPr>
              <w:spacing w:line="240" w:lineRule="auto"/>
              <w:rPr>
                <w:rFonts w:ascii="Times New Roman" w:hAnsi="Times New Roman"/>
                <w:color w:val="000000"/>
                <w:sz w:val="28"/>
                <w:szCs w:val="28"/>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5469BF" w:rsidRPr="00C643B7" w:rsidRDefault="005469BF" w:rsidP="004646FD">
            <w:pPr>
              <w:spacing w:line="240" w:lineRule="auto"/>
              <w:rPr>
                <w:rFonts w:ascii="Times New Roman" w:hAnsi="Times New Roman"/>
                <w:color w:val="000000"/>
                <w:sz w:val="28"/>
                <w:szCs w:val="28"/>
              </w:rPr>
            </w:pPr>
          </w:p>
        </w:tc>
        <w:tc>
          <w:tcPr>
            <w:tcW w:w="3508" w:type="dxa"/>
            <w:tcBorders>
              <w:top w:val="single" w:sz="4" w:space="0" w:color="auto"/>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відсутні відокремлені підрозділи</w:t>
            </w:r>
          </w:p>
        </w:tc>
        <w:tc>
          <w:tcPr>
            <w:tcW w:w="3152" w:type="dxa"/>
            <w:tcBorders>
              <w:top w:val="single" w:sz="4" w:space="0" w:color="auto"/>
              <w:left w:val="nil"/>
              <w:bottom w:val="single" w:sz="4" w:space="0" w:color="auto"/>
              <w:right w:val="single" w:sz="4" w:space="0" w:color="auto"/>
            </w:tcBorders>
            <w:shd w:val="clear" w:color="auto" w:fill="auto"/>
            <w:noWrap/>
            <w:vAlign w:val="bottom"/>
            <w:hideMark/>
          </w:tcPr>
          <w:p w:rsidR="005469BF" w:rsidRPr="00C643B7" w:rsidRDefault="005469BF"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r>
    </w:tbl>
    <w:p w:rsidR="00E628B1" w:rsidRPr="00C643B7" w:rsidRDefault="00E628B1" w:rsidP="004646FD">
      <w:pPr>
        <w:spacing w:line="240" w:lineRule="auto"/>
        <w:rPr>
          <w:rFonts w:ascii="Times New Roman" w:hAnsi="Times New Roman"/>
          <w:sz w:val="28"/>
          <w:szCs w:val="28"/>
        </w:rPr>
      </w:pPr>
    </w:p>
    <w:p w:rsidR="004E30C6" w:rsidRPr="00C643B7" w:rsidRDefault="004E30C6" w:rsidP="004646FD">
      <w:pPr>
        <w:spacing w:line="240" w:lineRule="auto"/>
        <w:jc w:val="center"/>
        <w:rPr>
          <w:rFonts w:ascii="Times New Roman" w:hAnsi="Times New Roman"/>
          <w:sz w:val="28"/>
          <w:szCs w:val="28"/>
        </w:rPr>
      </w:pPr>
      <w:r w:rsidRPr="00C643B7">
        <w:rPr>
          <w:rFonts w:ascii="Times New Roman" w:hAnsi="Times New Roman"/>
          <w:sz w:val="28"/>
          <w:szCs w:val="28"/>
        </w:rPr>
        <w:t>Пояснення до критеріїв для визначення суспільної важливості страховика</w:t>
      </w:r>
    </w:p>
    <w:p w:rsidR="004E30C6" w:rsidRPr="00C643B7" w:rsidRDefault="004E30C6" w:rsidP="004646FD">
      <w:pPr>
        <w:pStyle w:val="a6"/>
        <w:numPr>
          <w:ilvl w:val="0"/>
          <w:numId w:val="16"/>
        </w:numPr>
        <w:spacing w:line="240" w:lineRule="auto"/>
        <w:ind w:left="0" w:firstLine="426"/>
        <w:rPr>
          <w:rFonts w:ascii="Times New Roman" w:hAnsi="Times New Roman"/>
          <w:sz w:val="28"/>
          <w:szCs w:val="28"/>
          <w:lang w:val="uk-UA"/>
        </w:rPr>
      </w:pPr>
      <w:r w:rsidRPr="00C643B7">
        <w:rPr>
          <w:rFonts w:ascii="Times New Roman" w:hAnsi="Times New Roman"/>
          <w:sz w:val="28"/>
          <w:szCs w:val="28"/>
          <w:lang w:val="uk-UA"/>
        </w:rPr>
        <w:t>Чисті страхові премії розраховані як валові страхові премії за мінусом частки страхових премій належних перестраховикам-резидентам.</w:t>
      </w:r>
    </w:p>
    <w:p w:rsidR="004E30C6" w:rsidRPr="00C643B7" w:rsidRDefault="004E30C6" w:rsidP="004646FD">
      <w:pPr>
        <w:pStyle w:val="a6"/>
        <w:spacing w:line="240" w:lineRule="auto"/>
        <w:ind w:left="0" w:firstLine="426"/>
        <w:rPr>
          <w:rFonts w:ascii="Times New Roman" w:hAnsi="Times New Roman"/>
          <w:sz w:val="28"/>
          <w:szCs w:val="28"/>
          <w:lang w:val="uk-UA"/>
        </w:rPr>
      </w:pPr>
    </w:p>
    <w:p w:rsidR="004E30C6" w:rsidRPr="00C643B7" w:rsidRDefault="004E30C6" w:rsidP="004646FD">
      <w:pPr>
        <w:spacing w:line="240" w:lineRule="auto"/>
        <w:rPr>
          <w:rFonts w:ascii="Times New Roman" w:hAnsi="Times New Roman"/>
          <w:sz w:val="28"/>
          <w:szCs w:val="28"/>
        </w:rPr>
        <w:sectPr w:rsidR="004E30C6" w:rsidRPr="00C643B7" w:rsidSect="00A644A9">
          <w:headerReference w:type="default" r:id="rId15"/>
          <w:pgSz w:w="16701" w:h="16838"/>
          <w:pgMar w:top="1134" w:right="1817" w:bottom="1134" w:left="1701" w:header="709" w:footer="709" w:gutter="0"/>
          <w:pgNumType w:start="1"/>
          <w:cols w:space="708"/>
          <w:titlePg/>
          <w:docGrid w:linePitch="360"/>
        </w:sectPr>
      </w:pPr>
    </w:p>
    <w:tbl>
      <w:tblPr>
        <w:tblW w:w="10597" w:type="dxa"/>
        <w:tblInd w:w="-1081" w:type="dxa"/>
        <w:tblLayout w:type="fixed"/>
        <w:tblLook w:val="0480" w:firstRow="0" w:lastRow="0" w:firstColumn="1" w:lastColumn="0" w:noHBand="0" w:noVBand="1"/>
      </w:tblPr>
      <w:tblGrid>
        <w:gridCol w:w="984"/>
        <w:gridCol w:w="4403"/>
        <w:gridCol w:w="1189"/>
        <w:gridCol w:w="4021"/>
      </w:tblGrid>
      <w:tr w:rsidR="00E628B1" w:rsidRPr="00C643B7" w:rsidTr="00A80BA3">
        <w:trPr>
          <w:trHeight w:val="1245"/>
        </w:trPr>
        <w:tc>
          <w:tcPr>
            <w:tcW w:w="10597" w:type="dxa"/>
            <w:gridSpan w:val="4"/>
            <w:tcBorders>
              <w:top w:val="nil"/>
              <w:left w:val="nil"/>
              <w:bottom w:val="nil"/>
              <w:right w:val="nil"/>
            </w:tcBorders>
            <w:shd w:val="clear" w:color="auto" w:fill="auto"/>
            <w:vAlign w:val="center"/>
            <w:hideMark/>
          </w:tcPr>
          <w:p w:rsidR="00E628B1" w:rsidRPr="00C643B7" w:rsidRDefault="00E628B1" w:rsidP="004646FD">
            <w:pPr>
              <w:pStyle w:val="a6"/>
              <w:spacing w:after="0" w:line="240" w:lineRule="auto"/>
              <w:ind w:left="5936"/>
              <w:jc w:val="both"/>
              <w:rPr>
                <w:rFonts w:ascii="Times New Roman" w:hAnsi="Times New Roman"/>
                <w:sz w:val="28"/>
                <w:szCs w:val="28"/>
                <w:lang w:val="uk-UA"/>
              </w:rPr>
            </w:pPr>
            <w:r w:rsidRPr="00C643B7">
              <w:rPr>
                <w:rFonts w:ascii="Times New Roman" w:hAnsi="Times New Roman"/>
                <w:sz w:val="28"/>
                <w:szCs w:val="28"/>
                <w:lang w:val="uk-UA"/>
              </w:rPr>
              <w:lastRenderedPageBreak/>
              <w:t>Додаток 5</w:t>
            </w:r>
          </w:p>
          <w:p w:rsidR="00AE2B7E" w:rsidRPr="00C643B7" w:rsidRDefault="00AE2B7E" w:rsidP="004646FD">
            <w:pPr>
              <w:keepNext/>
              <w:spacing w:after="0" w:line="240" w:lineRule="auto"/>
              <w:ind w:left="5936"/>
              <w:jc w:val="both"/>
              <w:outlineLvl w:val="2"/>
              <w:rPr>
                <w:rFonts w:ascii="Times New Roman" w:eastAsia="Times New Roman" w:hAnsi="Times New Roman"/>
                <w:b/>
                <w:bCs/>
                <w:color w:val="000000"/>
                <w:sz w:val="28"/>
                <w:szCs w:val="28"/>
                <w:lang w:eastAsia="uk-UA"/>
              </w:rPr>
            </w:pPr>
            <w:r w:rsidRPr="00C643B7">
              <w:rPr>
                <w:rFonts w:ascii="Times New Roman" w:hAnsi="Times New Roman"/>
                <w:sz w:val="28"/>
                <w:szCs w:val="28"/>
              </w:rPr>
              <w:t xml:space="preserve">до </w:t>
            </w:r>
            <w:r w:rsidRPr="00C643B7">
              <w:rPr>
                <w:rFonts w:ascii="Times New Roman" w:eastAsia="Times New Roman" w:hAnsi="Times New Roman"/>
                <w:bCs/>
                <w:color w:val="000000"/>
                <w:sz w:val="28"/>
                <w:szCs w:val="28"/>
                <w:lang w:eastAsia="uk-UA"/>
              </w:rPr>
              <w:t>Положення про встановлення критеріїв,</w:t>
            </w:r>
            <w:r w:rsidR="004A7C7C" w:rsidRPr="00C643B7">
              <w:rPr>
                <w:rFonts w:ascii="Times New Roman" w:eastAsia="Times New Roman" w:hAnsi="Times New Roman"/>
                <w:bCs/>
                <w:color w:val="000000"/>
                <w:sz w:val="28"/>
                <w:szCs w:val="28"/>
                <w:lang w:eastAsia="uk-UA"/>
              </w:rPr>
              <w:t xml:space="preserve"> </w:t>
            </w:r>
            <w:r w:rsidRPr="00C643B7">
              <w:rPr>
                <w:rFonts w:ascii="Times New Roman" w:eastAsia="Times New Roman" w:hAnsi="Times New Roman"/>
                <w:bCs/>
                <w:color w:val="000000"/>
                <w:sz w:val="28"/>
                <w:szCs w:val="28"/>
                <w:lang w:eastAsia="uk-UA"/>
              </w:rPr>
              <w:t>за якими оцінюється ступінь ризику від здійснення діяльності учасниками ринку небанківських фінансових послуг</w:t>
            </w:r>
            <w:r w:rsidR="004A7C7C" w:rsidRPr="00C643B7">
              <w:rPr>
                <w:rFonts w:ascii="Times New Roman" w:eastAsia="Times New Roman" w:hAnsi="Times New Roman"/>
                <w:bCs/>
                <w:color w:val="000000"/>
                <w:sz w:val="28"/>
                <w:szCs w:val="28"/>
                <w:lang w:eastAsia="uk-UA"/>
              </w:rPr>
              <w:t>,</w:t>
            </w:r>
            <w:r w:rsidRPr="00C643B7">
              <w:rPr>
                <w:rFonts w:ascii="Times New Roman" w:eastAsia="Times New Roman" w:hAnsi="Times New Roman"/>
                <w:bCs/>
                <w:color w:val="000000"/>
                <w:sz w:val="28"/>
                <w:szCs w:val="28"/>
                <w:lang w:eastAsia="uk-UA"/>
              </w:rPr>
              <w:t xml:space="preserve"> їх суспільну важливість, на підставі яких визначається періодичність проведення планових інспекційних перевірок, та поряд</w:t>
            </w:r>
            <w:r w:rsidR="004A7C7C" w:rsidRPr="00C643B7">
              <w:rPr>
                <w:rFonts w:ascii="Times New Roman" w:eastAsia="Times New Roman" w:hAnsi="Times New Roman"/>
                <w:bCs/>
                <w:color w:val="000000"/>
                <w:sz w:val="28"/>
                <w:szCs w:val="28"/>
                <w:lang w:eastAsia="uk-UA"/>
              </w:rPr>
              <w:t>о</w:t>
            </w:r>
            <w:r w:rsidRPr="00C643B7">
              <w:rPr>
                <w:rFonts w:ascii="Times New Roman" w:eastAsia="Times New Roman" w:hAnsi="Times New Roman"/>
                <w:bCs/>
                <w:color w:val="000000"/>
                <w:sz w:val="28"/>
                <w:szCs w:val="28"/>
                <w:lang w:eastAsia="uk-UA"/>
              </w:rPr>
              <w:t>к їх застосування</w:t>
            </w:r>
          </w:p>
          <w:p w:rsidR="00E628B1" w:rsidRPr="00C643B7" w:rsidRDefault="00AE2B7E" w:rsidP="004646FD">
            <w:pPr>
              <w:spacing w:line="240" w:lineRule="auto"/>
              <w:ind w:left="5937"/>
              <w:jc w:val="both"/>
              <w:rPr>
                <w:rFonts w:ascii="Times New Roman" w:hAnsi="Times New Roman"/>
                <w:sz w:val="28"/>
                <w:szCs w:val="28"/>
              </w:rPr>
            </w:pPr>
            <w:r w:rsidRPr="00C643B7">
              <w:rPr>
                <w:rFonts w:ascii="Times New Roman" w:hAnsi="Times New Roman"/>
                <w:sz w:val="28"/>
                <w:szCs w:val="28"/>
              </w:rPr>
              <w:t>(пункт 19 розділу II)</w:t>
            </w:r>
          </w:p>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sz w:val="28"/>
                <w:szCs w:val="28"/>
              </w:rPr>
              <w:t>Критерії для визначення суспільної важливості кредитної спілки</w:t>
            </w:r>
          </w:p>
        </w:tc>
      </w:tr>
      <w:tr w:rsidR="00E628B1" w:rsidRPr="00C643B7" w:rsidTr="00A80BA3">
        <w:trPr>
          <w:trHeight w:val="1200"/>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5D4" w:rsidRPr="00C643B7" w:rsidRDefault="00A935D4" w:rsidP="004646FD">
            <w:pPr>
              <w:spacing w:line="240" w:lineRule="auto"/>
              <w:ind w:left="-1362" w:firstLine="1307"/>
              <w:jc w:val="center"/>
              <w:rPr>
                <w:rFonts w:ascii="Times New Roman" w:hAnsi="Times New Roman"/>
                <w:color w:val="000000"/>
                <w:sz w:val="28"/>
                <w:szCs w:val="28"/>
              </w:rPr>
            </w:pPr>
            <w:r w:rsidRPr="00C643B7">
              <w:rPr>
                <w:rFonts w:ascii="Times New Roman" w:hAnsi="Times New Roman"/>
                <w:color w:val="000000"/>
                <w:sz w:val="28"/>
                <w:szCs w:val="28"/>
              </w:rPr>
              <w:t>№</w:t>
            </w:r>
          </w:p>
          <w:p w:rsidR="00E628B1" w:rsidRPr="00C643B7" w:rsidRDefault="00A935D4" w:rsidP="004646FD">
            <w:pPr>
              <w:spacing w:line="240" w:lineRule="auto"/>
              <w:ind w:left="-1362" w:firstLine="1307"/>
              <w:jc w:val="center"/>
              <w:rPr>
                <w:rFonts w:ascii="Times New Roman" w:hAnsi="Times New Roman"/>
                <w:color w:val="000000"/>
                <w:sz w:val="28"/>
                <w:szCs w:val="28"/>
              </w:rPr>
            </w:pPr>
            <w:r w:rsidRPr="00C643B7">
              <w:rPr>
                <w:rFonts w:ascii="Times New Roman" w:hAnsi="Times New Roman"/>
                <w:color w:val="000000"/>
                <w:sz w:val="28"/>
                <w:szCs w:val="28"/>
              </w:rPr>
              <w:t>з/п</w:t>
            </w:r>
          </w:p>
        </w:tc>
        <w:tc>
          <w:tcPr>
            <w:tcW w:w="4403" w:type="dxa"/>
            <w:tcBorders>
              <w:top w:val="single" w:sz="4" w:space="0" w:color="auto"/>
              <w:left w:val="nil"/>
              <w:bottom w:val="single" w:sz="4" w:space="0" w:color="auto"/>
              <w:right w:val="single" w:sz="4" w:space="0" w:color="auto"/>
            </w:tcBorders>
            <w:shd w:val="clear" w:color="auto" w:fill="auto"/>
            <w:noWrap/>
            <w:vAlign w:val="center"/>
            <w:hideMark/>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 xml:space="preserve">Показники розподілу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sz w:val="28"/>
                <w:szCs w:val="28"/>
              </w:rPr>
              <w:t>Вага показника, %</w:t>
            </w:r>
          </w:p>
        </w:tc>
        <w:tc>
          <w:tcPr>
            <w:tcW w:w="4021" w:type="dxa"/>
            <w:tcBorders>
              <w:top w:val="single" w:sz="4" w:space="0" w:color="auto"/>
              <w:left w:val="nil"/>
              <w:bottom w:val="single" w:sz="4" w:space="0" w:color="auto"/>
              <w:right w:val="single" w:sz="4" w:space="0" w:color="auto"/>
            </w:tcBorders>
            <w:shd w:val="clear" w:color="auto" w:fill="auto"/>
            <w:vAlign w:val="center"/>
            <w:hideMark/>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Суспільна важливість</w:t>
            </w:r>
            <w:r w:rsidRPr="00C643B7">
              <w:rPr>
                <w:rFonts w:ascii="Times New Roman" w:hAnsi="Times New Roman"/>
                <w:color w:val="000000"/>
                <w:sz w:val="28"/>
                <w:szCs w:val="28"/>
              </w:rPr>
              <w:br/>
              <w:t>(групи)</w:t>
            </w:r>
          </w:p>
        </w:tc>
      </w:tr>
    </w:tbl>
    <w:p w:rsidR="00A80BA3" w:rsidRPr="00C643B7" w:rsidRDefault="00A80BA3" w:rsidP="004646FD">
      <w:pPr>
        <w:spacing w:after="0" w:line="240" w:lineRule="auto"/>
        <w:rPr>
          <w:sz w:val="2"/>
        </w:rPr>
      </w:pPr>
    </w:p>
    <w:tbl>
      <w:tblPr>
        <w:tblW w:w="10597" w:type="dxa"/>
        <w:tblInd w:w="-1086" w:type="dxa"/>
        <w:tblLayout w:type="fixed"/>
        <w:tblLook w:val="0480" w:firstRow="0" w:lastRow="0" w:firstColumn="1" w:lastColumn="0" w:noHBand="0" w:noVBand="1"/>
      </w:tblPr>
      <w:tblGrid>
        <w:gridCol w:w="984"/>
        <w:gridCol w:w="4403"/>
        <w:gridCol w:w="1189"/>
        <w:gridCol w:w="3508"/>
        <w:gridCol w:w="513"/>
      </w:tblGrid>
      <w:tr w:rsidR="00A935D4" w:rsidRPr="00C643B7" w:rsidTr="00A80BA3">
        <w:trPr>
          <w:trHeight w:val="599"/>
          <w:tblHead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35D4" w:rsidRPr="00C643B7" w:rsidRDefault="00A935D4" w:rsidP="004646FD">
            <w:pPr>
              <w:spacing w:line="240" w:lineRule="auto"/>
              <w:ind w:left="-1362" w:firstLine="1307"/>
              <w:jc w:val="center"/>
              <w:rPr>
                <w:rFonts w:ascii="Times New Roman" w:hAnsi="Times New Roman"/>
                <w:color w:val="000000"/>
                <w:sz w:val="28"/>
                <w:szCs w:val="28"/>
              </w:rPr>
            </w:pPr>
            <w:r w:rsidRPr="00C643B7">
              <w:rPr>
                <w:rFonts w:ascii="Times New Roman" w:hAnsi="Times New Roman"/>
                <w:color w:val="000000"/>
                <w:sz w:val="28"/>
                <w:szCs w:val="28"/>
              </w:rPr>
              <w:t>1</w:t>
            </w:r>
          </w:p>
        </w:tc>
        <w:tc>
          <w:tcPr>
            <w:tcW w:w="4403" w:type="dxa"/>
            <w:tcBorders>
              <w:top w:val="single" w:sz="4" w:space="0" w:color="auto"/>
              <w:left w:val="nil"/>
              <w:bottom w:val="single" w:sz="4" w:space="0" w:color="auto"/>
              <w:right w:val="single" w:sz="4" w:space="0" w:color="auto"/>
            </w:tcBorders>
            <w:shd w:val="clear" w:color="auto" w:fill="auto"/>
            <w:noWrap/>
            <w:vAlign w:val="center"/>
          </w:tcPr>
          <w:p w:rsidR="00A935D4" w:rsidRPr="00C643B7" w:rsidRDefault="00A935D4"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c>
          <w:tcPr>
            <w:tcW w:w="1189" w:type="dxa"/>
            <w:tcBorders>
              <w:top w:val="single" w:sz="4" w:space="0" w:color="auto"/>
              <w:left w:val="nil"/>
              <w:bottom w:val="single" w:sz="4" w:space="0" w:color="auto"/>
              <w:right w:val="single" w:sz="4" w:space="0" w:color="auto"/>
            </w:tcBorders>
            <w:shd w:val="clear" w:color="auto" w:fill="auto"/>
            <w:vAlign w:val="center"/>
          </w:tcPr>
          <w:p w:rsidR="00A935D4" w:rsidRPr="00C643B7" w:rsidRDefault="00A935D4"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c>
          <w:tcPr>
            <w:tcW w:w="4021" w:type="dxa"/>
            <w:gridSpan w:val="2"/>
            <w:tcBorders>
              <w:top w:val="single" w:sz="4" w:space="0" w:color="auto"/>
              <w:left w:val="nil"/>
              <w:bottom w:val="single" w:sz="4" w:space="0" w:color="auto"/>
              <w:right w:val="single" w:sz="4" w:space="0" w:color="auto"/>
            </w:tcBorders>
            <w:shd w:val="clear" w:color="auto" w:fill="auto"/>
            <w:vAlign w:val="center"/>
          </w:tcPr>
          <w:p w:rsidR="00A935D4" w:rsidRPr="00C643B7" w:rsidRDefault="00A935D4"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r>
      <w:tr w:rsidR="00E628B1" w:rsidRPr="00C643B7" w:rsidTr="00A80BA3">
        <w:trPr>
          <w:trHeight w:val="300"/>
        </w:trPr>
        <w:tc>
          <w:tcPr>
            <w:tcW w:w="984" w:type="dxa"/>
            <w:vMerge w:val="restart"/>
            <w:tcBorders>
              <w:top w:val="nil"/>
              <w:left w:val="single" w:sz="4" w:space="0" w:color="auto"/>
              <w:right w:val="single" w:sz="4" w:space="0" w:color="auto"/>
            </w:tcBorders>
            <w:shd w:val="clear" w:color="auto" w:fill="auto"/>
            <w:vAlign w:val="center"/>
            <w:hideMark/>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w:t>
            </w:r>
          </w:p>
        </w:tc>
        <w:tc>
          <w:tcPr>
            <w:tcW w:w="4403" w:type="dxa"/>
            <w:vMerge w:val="restart"/>
            <w:tcBorders>
              <w:top w:val="nil"/>
              <w:left w:val="single" w:sz="4" w:space="0" w:color="auto"/>
              <w:right w:val="single" w:sz="4" w:space="0" w:color="auto"/>
            </w:tcBorders>
            <w:shd w:val="clear" w:color="auto" w:fill="auto"/>
            <w:vAlign w:val="center"/>
            <w:hideMark/>
          </w:tcPr>
          <w:p w:rsidR="00E628B1" w:rsidRPr="00C643B7" w:rsidRDefault="00E628B1"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Балансова вартість активів кредитної спілки</w:t>
            </w:r>
            <w:r w:rsidR="00DE1407" w:rsidRPr="00C643B7">
              <w:rPr>
                <w:rFonts w:ascii="Times New Roman" w:hAnsi="Times New Roman"/>
                <w:color w:val="000000"/>
                <w:sz w:val="28"/>
                <w:szCs w:val="28"/>
              </w:rPr>
              <w:t xml:space="preserve"> на останню звітну дату періоду оцінки</w:t>
            </w:r>
            <w:r w:rsidRPr="00C643B7">
              <w:rPr>
                <w:rFonts w:ascii="Times New Roman" w:hAnsi="Times New Roman"/>
                <w:color w:val="000000"/>
                <w:sz w:val="28"/>
                <w:szCs w:val="28"/>
              </w:rPr>
              <w:t xml:space="preserve"> </w:t>
            </w:r>
            <w:r w:rsidR="00AE6CFC" w:rsidRPr="00C643B7">
              <w:rPr>
                <w:rFonts w:ascii="Times New Roman" w:hAnsi="Times New Roman"/>
                <w:color w:val="000000"/>
                <w:sz w:val="28"/>
                <w:szCs w:val="28"/>
              </w:rPr>
              <w:t>(млн. грн.)</w:t>
            </w:r>
          </w:p>
        </w:tc>
        <w:tc>
          <w:tcPr>
            <w:tcW w:w="1189" w:type="dxa"/>
            <w:vMerge w:val="restart"/>
            <w:tcBorders>
              <w:top w:val="nil"/>
              <w:left w:val="single" w:sz="4" w:space="0" w:color="auto"/>
              <w:right w:val="single" w:sz="4" w:space="0" w:color="auto"/>
            </w:tcBorders>
            <w:shd w:val="clear" w:color="auto" w:fill="auto"/>
            <w:vAlign w:val="center"/>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50</w:t>
            </w:r>
          </w:p>
        </w:tc>
        <w:tc>
          <w:tcPr>
            <w:tcW w:w="3508" w:type="dxa"/>
            <w:tcBorders>
              <w:top w:val="nil"/>
              <w:left w:val="nil"/>
              <w:bottom w:val="single" w:sz="4" w:space="0" w:color="auto"/>
              <w:right w:val="single" w:sz="4" w:space="0" w:color="auto"/>
            </w:tcBorders>
            <w:shd w:val="clear" w:color="auto" w:fill="auto"/>
            <w:noWrap/>
            <w:vAlign w:val="bottom"/>
            <w:hideMark/>
          </w:tcPr>
          <w:p w:rsidR="00E628B1" w:rsidRPr="00C643B7" w:rsidRDefault="00403416"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50 (включно)</w:t>
            </w:r>
            <w:r w:rsidR="000533A9" w:rsidRPr="00C643B7">
              <w:rPr>
                <w:rFonts w:ascii="Times New Roman" w:hAnsi="Times New Roman"/>
                <w:color w:val="000000"/>
                <w:sz w:val="28"/>
                <w:szCs w:val="28"/>
              </w:rPr>
              <w:t xml:space="preserve"> </w:t>
            </w:r>
            <w:r w:rsidR="00665563" w:rsidRPr="00C643B7">
              <w:rPr>
                <w:rFonts w:ascii="Times New Roman" w:hAnsi="Times New Roman"/>
                <w:color w:val="000000"/>
                <w:sz w:val="28"/>
                <w:szCs w:val="28"/>
              </w:rPr>
              <w:t>і більше</w:t>
            </w:r>
          </w:p>
        </w:tc>
        <w:tc>
          <w:tcPr>
            <w:tcW w:w="513"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r>
      <w:tr w:rsidR="00E628B1" w:rsidRPr="00C643B7" w:rsidTr="00A80BA3">
        <w:trPr>
          <w:trHeight w:val="375"/>
        </w:trPr>
        <w:tc>
          <w:tcPr>
            <w:tcW w:w="984" w:type="dxa"/>
            <w:vMerge/>
            <w:tcBorders>
              <w:left w:val="single" w:sz="4" w:space="0" w:color="auto"/>
              <w:right w:val="single" w:sz="4" w:space="0" w:color="auto"/>
            </w:tcBorders>
            <w:vAlign w:val="center"/>
            <w:hideMark/>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від 30 </w:t>
            </w:r>
            <w:r w:rsidR="00665563" w:rsidRPr="00C643B7">
              <w:rPr>
                <w:rFonts w:ascii="Times New Roman" w:hAnsi="Times New Roman"/>
                <w:color w:val="000000"/>
                <w:sz w:val="28"/>
                <w:szCs w:val="28"/>
              </w:rPr>
              <w:t xml:space="preserve">(включно) </w:t>
            </w:r>
            <w:r w:rsidRPr="00C643B7">
              <w:rPr>
                <w:rFonts w:ascii="Times New Roman" w:hAnsi="Times New Roman"/>
                <w:color w:val="000000"/>
                <w:sz w:val="28"/>
                <w:szCs w:val="28"/>
              </w:rPr>
              <w:t>до 50</w:t>
            </w:r>
          </w:p>
        </w:tc>
        <w:tc>
          <w:tcPr>
            <w:tcW w:w="513"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r>
      <w:tr w:rsidR="00E628B1" w:rsidRPr="00C643B7" w:rsidTr="00A80BA3">
        <w:trPr>
          <w:trHeight w:val="511"/>
        </w:trPr>
        <w:tc>
          <w:tcPr>
            <w:tcW w:w="984" w:type="dxa"/>
            <w:vMerge/>
            <w:tcBorders>
              <w:left w:val="single" w:sz="4" w:space="0" w:color="auto"/>
              <w:right w:val="single" w:sz="4" w:space="0" w:color="auto"/>
            </w:tcBorders>
            <w:vAlign w:val="center"/>
            <w:hideMark/>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від 10 </w:t>
            </w:r>
            <w:r w:rsidR="00665563" w:rsidRPr="00C643B7">
              <w:rPr>
                <w:rFonts w:ascii="Times New Roman" w:hAnsi="Times New Roman"/>
                <w:color w:val="000000"/>
                <w:sz w:val="28"/>
                <w:szCs w:val="28"/>
              </w:rPr>
              <w:t xml:space="preserve">(включно) </w:t>
            </w:r>
            <w:r w:rsidRPr="00C643B7">
              <w:rPr>
                <w:rFonts w:ascii="Times New Roman" w:hAnsi="Times New Roman"/>
                <w:color w:val="000000"/>
                <w:sz w:val="28"/>
                <w:szCs w:val="28"/>
              </w:rPr>
              <w:t xml:space="preserve">до 30 </w:t>
            </w:r>
          </w:p>
        </w:tc>
        <w:tc>
          <w:tcPr>
            <w:tcW w:w="513"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r>
      <w:tr w:rsidR="00E628B1" w:rsidRPr="00C643B7" w:rsidTr="00A80BA3">
        <w:trPr>
          <w:trHeight w:val="511"/>
        </w:trPr>
        <w:tc>
          <w:tcPr>
            <w:tcW w:w="984"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менше 10 </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4</w:t>
            </w:r>
          </w:p>
        </w:tc>
      </w:tr>
      <w:tr w:rsidR="00E628B1" w:rsidRPr="00C643B7" w:rsidTr="00A80BA3">
        <w:trPr>
          <w:trHeight w:val="405"/>
        </w:trPr>
        <w:tc>
          <w:tcPr>
            <w:tcW w:w="984" w:type="dxa"/>
            <w:vMerge w:val="restart"/>
            <w:tcBorders>
              <w:top w:val="nil"/>
              <w:left w:val="single" w:sz="4" w:space="0" w:color="auto"/>
              <w:right w:val="single" w:sz="4" w:space="0" w:color="auto"/>
            </w:tcBorders>
            <w:shd w:val="clear" w:color="auto" w:fill="auto"/>
            <w:vAlign w:val="center"/>
            <w:hideMark/>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c>
          <w:tcPr>
            <w:tcW w:w="4403" w:type="dxa"/>
            <w:vMerge w:val="restart"/>
            <w:tcBorders>
              <w:top w:val="nil"/>
              <w:left w:val="single" w:sz="4" w:space="0" w:color="auto"/>
              <w:right w:val="single" w:sz="4" w:space="0" w:color="auto"/>
            </w:tcBorders>
            <w:shd w:val="clear" w:color="auto" w:fill="auto"/>
            <w:vAlign w:val="center"/>
            <w:hideMark/>
          </w:tcPr>
          <w:p w:rsidR="00E628B1" w:rsidRPr="00C643B7" w:rsidRDefault="00E628B1"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Залишок зобов’язань за внесками (вкладами) на депозитні рахунки (млн. грн.)</w:t>
            </w:r>
          </w:p>
        </w:tc>
        <w:tc>
          <w:tcPr>
            <w:tcW w:w="1189" w:type="dxa"/>
            <w:vMerge w:val="restart"/>
            <w:tcBorders>
              <w:top w:val="nil"/>
              <w:left w:val="single" w:sz="4" w:space="0" w:color="auto"/>
              <w:right w:val="single" w:sz="4" w:space="0" w:color="auto"/>
            </w:tcBorders>
            <w:shd w:val="clear" w:color="auto" w:fill="auto"/>
            <w:vAlign w:val="center"/>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35</w:t>
            </w:r>
          </w:p>
        </w:tc>
        <w:tc>
          <w:tcPr>
            <w:tcW w:w="3508"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40 </w:t>
            </w:r>
            <w:r w:rsidR="000533A9" w:rsidRPr="00C643B7">
              <w:rPr>
                <w:rFonts w:ascii="Times New Roman" w:hAnsi="Times New Roman"/>
                <w:color w:val="000000"/>
                <w:sz w:val="28"/>
                <w:szCs w:val="28"/>
              </w:rPr>
              <w:t>(</w:t>
            </w:r>
            <w:r w:rsidR="00403416" w:rsidRPr="00C643B7">
              <w:rPr>
                <w:rFonts w:ascii="Times New Roman" w:hAnsi="Times New Roman"/>
                <w:color w:val="000000"/>
                <w:sz w:val="28"/>
                <w:szCs w:val="28"/>
              </w:rPr>
              <w:t>включно</w:t>
            </w:r>
            <w:r w:rsidR="000533A9" w:rsidRPr="00C643B7">
              <w:rPr>
                <w:rFonts w:ascii="Times New Roman" w:hAnsi="Times New Roman"/>
                <w:color w:val="000000"/>
                <w:sz w:val="28"/>
                <w:szCs w:val="28"/>
              </w:rPr>
              <w:t xml:space="preserve">) </w:t>
            </w:r>
            <w:r w:rsidR="00665563" w:rsidRPr="00C643B7">
              <w:rPr>
                <w:rFonts w:ascii="Times New Roman" w:hAnsi="Times New Roman"/>
                <w:color w:val="000000"/>
                <w:sz w:val="28"/>
                <w:szCs w:val="28"/>
              </w:rPr>
              <w:t>і більше</w:t>
            </w:r>
          </w:p>
        </w:tc>
        <w:tc>
          <w:tcPr>
            <w:tcW w:w="513"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1</w:t>
            </w:r>
          </w:p>
        </w:tc>
      </w:tr>
      <w:tr w:rsidR="00E628B1" w:rsidRPr="00C643B7" w:rsidTr="00A80BA3">
        <w:trPr>
          <w:trHeight w:val="540"/>
        </w:trPr>
        <w:tc>
          <w:tcPr>
            <w:tcW w:w="984" w:type="dxa"/>
            <w:vMerge/>
            <w:tcBorders>
              <w:left w:val="single" w:sz="4" w:space="0" w:color="auto"/>
              <w:right w:val="single" w:sz="4" w:space="0" w:color="auto"/>
            </w:tcBorders>
            <w:vAlign w:val="center"/>
            <w:hideMark/>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від 10 </w:t>
            </w:r>
            <w:r w:rsidR="00665563" w:rsidRPr="00C643B7">
              <w:rPr>
                <w:rFonts w:ascii="Times New Roman" w:hAnsi="Times New Roman"/>
                <w:color w:val="000000"/>
                <w:sz w:val="28"/>
                <w:szCs w:val="28"/>
              </w:rPr>
              <w:t xml:space="preserve">(включно) </w:t>
            </w:r>
            <w:r w:rsidRPr="00C643B7">
              <w:rPr>
                <w:rFonts w:ascii="Times New Roman" w:hAnsi="Times New Roman"/>
                <w:color w:val="000000"/>
                <w:sz w:val="28"/>
                <w:szCs w:val="28"/>
              </w:rPr>
              <w:t>до 40</w:t>
            </w:r>
            <w:r w:rsidR="00665DFA" w:rsidRPr="00C643B7">
              <w:rPr>
                <w:rFonts w:ascii="Times New Roman" w:hAnsi="Times New Roman"/>
                <w:color w:val="000000"/>
                <w:sz w:val="28"/>
                <w:szCs w:val="28"/>
              </w:rPr>
              <w:t xml:space="preserve"> </w:t>
            </w:r>
          </w:p>
        </w:tc>
        <w:tc>
          <w:tcPr>
            <w:tcW w:w="513"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2</w:t>
            </w:r>
          </w:p>
        </w:tc>
      </w:tr>
      <w:tr w:rsidR="00E628B1" w:rsidRPr="00C643B7" w:rsidTr="00A80BA3">
        <w:trPr>
          <w:trHeight w:val="351"/>
        </w:trPr>
        <w:tc>
          <w:tcPr>
            <w:tcW w:w="984" w:type="dxa"/>
            <w:vMerge/>
            <w:tcBorders>
              <w:left w:val="single" w:sz="4" w:space="0" w:color="auto"/>
              <w:right w:val="single" w:sz="4" w:space="0" w:color="auto"/>
            </w:tcBorders>
            <w:vAlign w:val="center"/>
            <w:hideMark/>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hideMark/>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hideMark/>
          </w:tcPr>
          <w:p w:rsidR="00E628B1" w:rsidRPr="00C643B7" w:rsidRDefault="00665563"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менше </w:t>
            </w:r>
            <w:r w:rsidR="00E628B1" w:rsidRPr="00C643B7">
              <w:rPr>
                <w:rFonts w:ascii="Times New Roman" w:hAnsi="Times New Roman"/>
                <w:color w:val="000000"/>
                <w:sz w:val="28"/>
                <w:szCs w:val="28"/>
              </w:rPr>
              <w:t xml:space="preserve">10 </w:t>
            </w:r>
          </w:p>
        </w:tc>
        <w:tc>
          <w:tcPr>
            <w:tcW w:w="513" w:type="dxa"/>
            <w:tcBorders>
              <w:top w:val="nil"/>
              <w:left w:val="nil"/>
              <w:bottom w:val="single" w:sz="4" w:space="0" w:color="auto"/>
              <w:right w:val="single" w:sz="4" w:space="0" w:color="auto"/>
            </w:tcBorders>
            <w:shd w:val="clear" w:color="auto" w:fill="auto"/>
            <w:noWrap/>
            <w:vAlign w:val="bottom"/>
            <w:hideMark/>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3</w:t>
            </w:r>
          </w:p>
        </w:tc>
      </w:tr>
      <w:tr w:rsidR="00E628B1" w:rsidRPr="00C643B7" w:rsidTr="00A80BA3">
        <w:trPr>
          <w:trHeight w:val="351"/>
        </w:trPr>
        <w:tc>
          <w:tcPr>
            <w:tcW w:w="984"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відсутні залишки по депозитам</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sz w:val="28"/>
                <w:szCs w:val="28"/>
              </w:rPr>
            </w:pPr>
            <w:r w:rsidRPr="00C643B7">
              <w:rPr>
                <w:rFonts w:ascii="Times New Roman" w:hAnsi="Times New Roman"/>
                <w:sz w:val="28"/>
                <w:szCs w:val="28"/>
              </w:rPr>
              <w:t>4</w:t>
            </w:r>
          </w:p>
        </w:tc>
      </w:tr>
      <w:tr w:rsidR="00E628B1" w:rsidRPr="00C643B7" w:rsidTr="00A80BA3">
        <w:trPr>
          <w:trHeight w:val="351"/>
        </w:trPr>
        <w:tc>
          <w:tcPr>
            <w:tcW w:w="984" w:type="dxa"/>
            <w:vMerge w:val="restart"/>
            <w:tcBorders>
              <w:left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c>
          <w:tcPr>
            <w:tcW w:w="4403" w:type="dxa"/>
            <w:vMerge w:val="restart"/>
            <w:tcBorders>
              <w:left w:val="single" w:sz="4" w:space="0" w:color="auto"/>
              <w:right w:val="single" w:sz="4" w:space="0" w:color="auto"/>
            </w:tcBorders>
            <w:vAlign w:val="center"/>
          </w:tcPr>
          <w:p w:rsidR="00E628B1" w:rsidRPr="00C643B7" w:rsidRDefault="00E628B1"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 xml:space="preserve">Кількість членів </w:t>
            </w:r>
            <w:r w:rsidR="00141E6F" w:rsidRPr="00C643B7">
              <w:rPr>
                <w:rFonts w:ascii="Times New Roman" w:hAnsi="Times New Roman"/>
                <w:color w:val="000000"/>
                <w:sz w:val="28"/>
                <w:szCs w:val="28"/>
              </w:rPr>
              <w:t xml:space="preserve">кредитної спілки </w:t>
            </w:r>
            <w:r w:rsidRPr="00C643B7">
              <w:rPr>
                <w:rFonts w:ascii="Times New Roman" w:hAnsi="Times New Roman"/>
                <w:color w:val="000000"/>
                <w:sz w:val="28"/>
                <w:szCs w:val="28"/>
              </w:rPr>
              <w:t>(осіб)</w:t>
            </w:r>
          </w:p>
        </w:tc>
        <w:tc>
          <w:tcPr>
            <w:tcW w:w="1189" w:type="dxa"/>
            <w:vMerge w:val="restart"/>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      10</w:t>
            </w: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5000</w:t>
            </w:r>
            <w:r w:rsidR="00665DFA" w:rsidRPr="00C643B7">
              <w:rPr>
                <w:rFonts w:ascii="Times New Roman" w:hAnsi="Times New Roman"/>
                <w:color w:val="000000"/>
                <w:sz w:val="28"/>
                <w:szCs w:val="28"/>
              </w:rPr>
              <w:t xml:space="preserve"> (включно)</w:t>
            </w:r>
            <w:r w:rsidR="000533A9" w:rsidRPr="00C643B7">
              <w:rPr>
                <w:rFonts w:ascii="Times New Roman" w:hAnsi="Times New Roman"/>
                <w:color w:val="000000"/>
                <w:sz w:val="28"/>
                <w:szCs w:val="28"/>
              </w:rPr>
              <w:t xml:space="preserve"> </w:t>
            </w:r>
            <w:r w:rsidR="00403416" w:rsidRPr="00C643B7">
              <w:rPr>
                <w:rFonts w:ascii="Times New Roman" w:hAnsi="Times New Roman"/>
                <w:color w:val="000000"/>
                <w:sz w:val="28"/>
                <w:szCs w:val="28"/>
              </w:rPr>
              <w:t>і більше</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w:t>
            </w:r>
          </w:p>
        </w:tc>
      </w:tr>
      <w:tr w:rsidR="00E628B1" w:rsidRPr="00C643B7" w:rsidTr="00A80BA3">
        <w:trPr>
          <w:trHeight w:val="351"/>
        </w:trPr>
        <w:tc>
          <w:tcPr>
            <w:tcW w:w="984" w:type="dxa"/>
            <w:vMerge/>
            <w:tcBorders>
              <w:left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від 1000 </w:t>
            </w:r>
            <w:r w:rsidR="00665DFA" w:rsidRPr="00C643B7">
              <w:rPr>
                <w:rFonts w:ascii="Times New Roman" w:hAnsi="Times New Roman"/>
                <w:color w:val="000000"/>
                <w:sz w:val="28"/>
                <w:szCs w:val="28"/>
              </w:rPr>
              <w:t>(включно)</w:t>
            </w:r>
            <w:r w:rsidR="00A04E40" w:rsidRPr="00C643B7">
              <w:rPr>
                <w:rFonts w:ascii="Times New Roman" w:hAnsi="Times New Roman"/>
                <w:color w:val="000000"/>
                <w:sz w:val="28"/>
                <w:szCs w:val="28"/>
              </w:rPr>
              <w:t xml:space="preserve"> </w:t>
            </w:r>
            <w:r w:rsidRPr="00C643B7">
              <w:rPr>
                <w:rFonts w:ascii="Times New Roman" w:hAnsi="Times New Roman"/>
                <w:color w:val="000000"/>
                <w:sz w:val="28"/>
                <w:szCs w:val="28"/>
              </w:rPr>
              <w:t xml:space="preserve">до </w:t>
            </w:r>
            <w:r w:rsidR="006E10A3" w:rsidRPr="00C643B7">
              <w:rPr>
                <w:rFonts w:ascii="Times New Roman" w:hAnsi="Times New Roman"/>
                <w:color w:val="000000"/>
                <w:sz w:val="28"/>
                <w:szCs w:val="28"/>
              </w:rPr>
              <w:t>5000</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r>
      <w:tr w:rsidR="00E628B1" w:rsidRPr="00C643B7" w:rsidTr="00A80BA3">
        <w:trPr>
          <w:trHeight w:val="351"/>
        </w:trPr>
        <w:tc>
          <w:tcPr>
            <w:tcW w:w="984" w:type="dxa"/>
            <w:vMerge/>
            <w:tcBorders>
              <w:left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від 500 </w:t>
            </w:r>
            <w:r w:rsidR="006E10A3" w:rsidRPr="00C643B7">
              <w:rPr>
                <w:rFonts w:ascii="Times New Roman" w:hAnsi="Times New Roman"/>
                <w:color w:val="000000"/>
                <w:sz w:val="28"/>
                <w:szCs w:val="28"/>
              </w:rPr>
              <w:t xml:space="preserve">(включно) </w:t>
            </w:r>
            <w:r w:rsidRPr="00C643B7">
              <w:rPr>
                <w:rFonts w:ascii="Times New Roman" w:hAnsi="Times New Roman"/>
                <w:color w:val="000000"/>
                <w:sz w:val="28"/>
                <w:szCs w:val="28"/>
              </w:rPr>
              <w:t xml:space="preserve">до </w:t>
            </w:r>
            <w:r w:rsidR="006E10A3" w:rsidRPr="00C643B7">
              <w:rPr>
                <w:rFonts w:ascii="Times New Roman" w:hAnsi="Times New Roman"/>
                <w:color w:val="000000"/>
                <w:sz w:val="28"/>
                <w:szCs w:val="28"/>
              </w:rPr>
              <w:t>1000</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r>
      <w:tr w:rsidR="00E628B1" w:rsidRPr="00C643B7" w:rsidTr="00A80BA3">
        <w:trPr>
          <w:trHeight w:val="351"/>
        </w:trPr>
        <w:tc>
          <w:tcPr>
            <w:tcW w:w="984"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до 500</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r>
      <w:tr w:rsidR="00E628B1" w:rsidRPr="00C643B7" w:rsidTr="00A80BA3">
        <w:trPr>
          <w:trHeight w:val="300"/>
        </w:trPr>
        <w:tc>
          <w:tcPr>
            <w:tcW w:w="984" w:type="dxa"/>
            <w:vMerge w:val="restart"/>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c>
          <w:tcPr>
            <w:tcW w:w="4403" w:type="dxa"/>
            <w:vMerge w:val="restart"/>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both"/>
              <w:rPr>
                <w:rFonts w:ascii="Times New Roman" w:hAnsi="Times New Roman"/>
                <w:color w:val="000000"/>
                <w:sz w:val="28"/>
                <w:szCs w:val="28"/>
              </w:rPr>
            </w:pPr>
            <w:r w:rsidRPr="00C643B7">
              <w:rPr>
                <w:rFonts w:ascii="Times New Roman" w:hAnsi="Times New Roman"/>
                <w:color w:val="000000"/>
                <w:sz w:val="28"/>
                <w:szCs w:val="28"/>
              </w:rPr>
              <w:t>Розгалуженість мережі кредитної спілки (кількість відокремлених підрозділів) (одиниць)</w:t>
            </w: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 xml:space="preserve">      5</w:t>
            </w: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10</w:t>
            </w:r>
            <w:r w:rsidR="00665DFA" w:rsidRPr="00C643B7">
              <w:rPr>
                <w:rFonts w:ascii="Times New Roman" w:hAnsi="Times New Roman"/>
                <w:color w:val="000000"/>
                <w:sz w:val="28"/>
                <w:szCs w:val="28"/>
              </w:rPr>
              <w:t xml:space="preserve"> (включно)</w:t>
            </w:r>
            <w:r w:rsidR="000533A9" w:rsidRPr="00C643B7">
              <w:rPr>
                <w:rFonts w:ascii="Times New Roman" w:hAnsi="Times New Roman"/>
                <w:color w:val="000000"/>
                <w:sz w:val="28"/>
                <w:szCs w:val="28"/>
              </w:rPr>
              <w:t xml:space="preserve"> і більше</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1</w:t>
            </w:r>
          </w:p>
        </w:tc>
      </w:tr>
      <w:tr w:rsidR="00E628B1" w:rsidRPr="00C643B7" w:rsidTr="00A80BA3">
        <w:trPr>
          <w:trHeight w:val="300"/>
        </w:trPr>
        <w:tc>
          <w:tcPr>
            <w:tcW w:w="984"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5</w:t>
            </w:r>
            <w:r w:rsidR="00700766" w:rsidRPr="00C643B7">
              <w:rPr>
                <w:rFonts w:ascii="Times New Roman" w:hAnsi="Times New Roman"/>
                <w:color w:val="000000"/>
                <w:sz w:val="28"/>
                <w:szCs w:val="28"/>
              </w:rPr>
              <w:t xml:space="preserve"> (включно)</w:t>
            </w:r>
            <w:r w:rsidRPr="00C643B7">
              <w:rPr>
                <w:rFonts w:ascii="Times New Roman" w:hAnsi="Times New Roman"/>
                <w:color w:val="000000"/>
                <w:sz w:val="28"/>
                <w:szCs w:val="28"/>
              </w:rPr>
              <w:t xml:space="preserve"> до </w:t>
            </w:r>
            <w:r w:rsidR="00700766" w:rsidRPr="00C643B7">
              <w:rPr>
                <w:rFonts w:ascii="Times New Roman" w:hAnsi="Times New Roman"/>
                <w:color w:val="000000"/>
                <w:sz w:val="28"/>
                <w:szCs w:val="28"/>
              </w:rPr>
              <w:t xml:space="preserve">10 </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r>
      <w:tr w:rsidR="00E628B1" w:rsidRPr="00C643B7" w:rsidTr="00A80BA3">
        <w:trPr>
          <w:trHeight w:val="300"/>
        </w:trPr>
        <w:tc>
          <w:tcPr>
            <w:tcW w:w="984"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nil"/>
              <w:left w:val="nil"/>
              <w:bottom w:val="single" w:sz="4" w:space="0" w:color="auto"/>
              <w:right w:val="single" w:sz="4" w:space="0" w:color="auto"/>
            </w:tcBorders>
            <w:shd w:val="clear" w:color="auto" w:fill="auto"/>
            <w:noWrap/>
            <w:vAlign w:val="bottom"/>
          </w:tcPr>
          <w:p w:rsidR="00E628B1" w:rsidRPr="00C643B7" w:rsidRDefault="00DE1407"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 1</w:t>
            </w:r>
            <w:r w:rsidR="0077166A" w:rsidRPr="00C643B7">
              <w:rPr>
                <w:rFonts w:ascii="Times New Roman" w:hAnsi="Times New Roman"/>
                <w:color w:val="000000"/>
                <w:sz w:val="28"/>
                <w:szCs w:val="28"/>
              </w:rPr>
              <w:t xml:space="preserve"> </w:t>
            </w:r>
            <w:r w:rsidRPr="00C643B7">
              <w:rPr>
                <w:rFonts w:ascii="Times New Roman" w:hAnsi="Times New Roman"/>
                <w:color w:val="000000"/>
                <w:sz w:val="28"/>
                <w:szCs w:val="28"/>
              </w:rPr>
              <w:t xml:space="preserve">до </w:t>
            </w:r>
            <w:r w:rsidR="00E628B1" w:rsidRPr="00C643B7">
              <w:rPr>
                <w:rFonts w:ascii="Times New Roman" w:hAnsi="Times New Roman"/>
                <w:color w:val="000000"/>
                <w:sz w:val="28"/>
                <w:szCs w:val="28"/>
              </w:rPr>
              <w:t xml:space="preserve">5 </w:t>
            </w:r>
          </w:p>
        </w:tc>
        <w:tc>
          <w:tcPr>
            <w:tcW w:w="513" w:type="dxa"/>
            <w:tcBorders>
              <w:top w:val="nil"/>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r>
      <w:tr w:rsidR="00E628B1" w:rsidRPr="00C643B7" w:rsidTr="00A80BA3">
        <w:trPr>
          <w:trHeight w:val="300"/>
        </w:trPr>
        <w:tc>
          <w:tcPr>
            <w:tcW w:w="984"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jc w:val="center"/>
              <w:rPr>
                <w:rFonts w:ascii="Times New Roman" w:hAnsi="Times New Roman"/>
                <w:color w:val="000000"/>
                <w:sz w:val="28"/>
                <w:szCs w:val="28"/>
              </w:rPr>
            </w:pPr>
          </w:p>
        </w:tc>
        <w:tc>
          <w:tcPr>
            <w:tcW w:w="4403"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E628B1" w:rsidRPr="00C643B7" w:rsidRDefault="00E628B1" w:rsidP="004646FD">
            <w:pPr>
              <w:spacing w:line="240" w:lineRule="auto"/>
              <w:rPr>
                <w:rFonts w:ascii="Times New Roman" w:hAnsi="Times New Roman"/>
                <w:color w:val="000000"/>
                <w:sz w:val="28"/>
                <w:szCs w:val="28"/>
              </w:rPr>
            </w:pPr>
          </w:p>
        </w:tc>
        <w:tc>
          <w:tcPr>
            <w:tcW w:w="3508" w:type="dxa"/>
            <w:tcBorders>
              <w:top w:val="single" w:sz="4" w:space="0" w:color="auto"/>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rPr>
                <w:rFonts w:ascii="Times New Roman" w:hAnsi="Times New Roman"/>
                <w:color w:val="000000"/>
                <w:sz w:val="28"/>
                <w:szCs w:val="28"/>
              </w:rPr>
            </w:pPr>
            <w:r w:rsidRPr="00C643B7">
              <w:rPr>
                <w:rFonts w:ascii="Times New Roman" w:hAnsi="Times New Roman"/>
                <w:color w:val="000000"/>
                <w:sz w:val="28"/>
                <w:szCs w:val="28"/>
              </w:rPr>
              <w:t>відсутні відокремлені підрозділи</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E628B1" w:rsidRPr="00C643B7" w:rsidRDefault="00E628B1" w:rsidP="004646FD">
            <w:pPr>
              <w:spacing w:line="240" w:lineRule="auto"/>
              <w:jc w:val="center"/>
              <w:rPr>
                <w:rFonts w:ascii="Times New Roman" w:hAnsi="Times New Roman"/>
                <w:color w:val="000000"/>
                <w:sz w:val="28"/>
                <w:szCs w:val="28"/>
              </w:rPr>
            </w:pPr>
            <w:r w:rsidRPr="00C643B7">
              <w:rPr>
                <w:rFonts w:ascii="Times New Roman" w:hAnsi="Times New Roman"/>
                <w:color w:val="000000"/>
                <w:sz w:val="28"/>
                <w:szCs w:val="28"/>
              </w:rPr>
              <w:t>4</w:t>
            </w:r>
          </w:p>
        </w:tc>
      </w:tr>
    </w:tbl>
    <w:p w:rsidR="00B63673" w:rsidRPr="00C643B7" w:rsidRDefault="00B63673" w:rsidP="004646FD">
      <w:pPr>
        <w:spacing w:line="240" w:lineRule="auto"/>
        <w:jc w:val="both"/>
        <w:rPr>
          <w:rFonts w:ascii="Times New Roman" w:hAnsi="Times New Roman"/>
          <w:color w:val="000000"/>
          <w:sz w:val="24"/>
          <w:szCs w:val="24"/>
        </w:rPr>
      </w:pPr>
    </w:p>
    <w:p w:rsidR="00F75ECB" w:rsidRPr="00C643B7" w:rsidRDefault="00F75ECB" w:rsidP="004646FD">
      <w:pPr>
        <w:spacing w:line="240" w:lineRule="auto"/>
        <w:ind w:firstLine="851"/>
        <w:jc w:val="center"/>
        <w:rPr>
          <w:rFonts w:ascii="Times New Roman" w:hAnsi="Times New Roman"/>
          <w:sz w:val="28"/>
          <w:szCs w:val="28"/>
        </w:rPr>
      </w:pPr>
      <w:r w:rsidRPr="00C643B7">
        <w:rPr>
          <w:rFonts w:ascii="Times New Roman" w:hAnsi="Times New Roman"/>
          <w:sz w:val="28"/>
          <w:szCs w:val="28"/>
        </w:rPr>
        <w:t>Пояснення до критеріїв для визначення суспільної важливості кредитної спілки</w:t>
      </w:r>
    </w:p>
    <w:p w:rsidR="00E628B1" w:rsidRPr="00C643B7" w:rsidRDefault="001F7CD6" w:rsidP="004646FD">
      <w:pPr>
        <w:spacing w:line="240" w:lineRule="auto"/>
        <w:ind w:firstLine="851"/>
        <w:jc w:val="both"/>
        <w:rPr>
          <w:rFonts w:ascii="Times New Roman" w:hAnsi="Times New Roman"/>
          <w:color w:val="000000"/>
          <w:sz w:val="28"/>
          <w:szCs w:val="28"/>
        </w:rPr>
      </w:pPr>
      <w:r w:rsidRPr="00C643B7">
        <w:rPr>
          <w:rFonts w:ascii="Times New Roman" w:hAnsi="Times New Roman"/>
          <w:color w:val="000000"/>
          <w:sz w:val="28"/>
          <w:szCs w:val="28"/>
        </w:rPr>
        <w:t>1.</w:t>
      </w:r>
      <w:r w:rsidR="00F75ECB" w:rsidRPr="00C643B7">
        <w:rPr>
          <w:rFonts w:ascii="Times New Roman" w:hAnsi="Times New Roman"/>
          <w:color w:val="000000"/>
          <w:sz w:val="28"/>
          <w:szCs w:val="28"/>
        </w:rPr>
        <w:t xml:space="preserve"> </w:t>
      </w:r>
      <w:r w:rsidR="00E628B1" w:rsidRPr="00C643B7">
        <w:rPr>
          <w:rFonts w:ascii="Times New Roman" w:hAnsi="Times New Roman"/>
          <w:color w:val="000000"/>
          <w:sz w:val="28"/>
          <w:szCs w:val="28"/>
        </w:rPr>
        <w:t>Кредитній спілці не присвоюється рівень суспільної важливості, якщо балансова вартість активів кредитної спілки не перевищує 2 млн</w:t>
      </w:r>
      <w:r w:rsidR="00F75ECB" w:rsidRPr="00C643B7">
        <w:rPr>
          <w:rFonts w:ascii="Times New Roman" w:hAnsi="Times New Roman"/>
          <w:color w:val="000000"/>
          <w:sz w:val="28"/>
          <w:szCs w:val="28"/>
        </w:rPr>
        <w:t>.</w:t>
      </w:r>
      <w:r w:rsidR="00E628B1" w:rsidRPr="00C643B7">
        <w:rPr>
          <w:rFonts w:ascii="Times New Roman" w:hAnsi="Times New Roman"/>
          <w:color w:val="000000"/>
          <w:sz w:val="28"/>
          <w:szCs w:val="28"/>
        </w:rPr>
        <w:t xml:space="preserve"> </w:t>
      </w:r>
      <w:r w:rsidR="00F75ECB" w:rsidRPr="00C643B7">
        <w:rPr>
          <w:rFonts w:ascii="Times New Roman" w:hAnsi="Times New Roman"/>
          <w:color w:val="000000"/>
          <w:sz w:val="28"/>
          <w:szCs w:val="28"/>
        </w:rPr>
        <w:t>грн. т</w:t>
      </w:r>
      <w:r w:rsidR="00E628B1" w:rsidRPr="00C643B7">
        <w:rPr>
          <w:rFonts w:ascii="Times New Roman" w:hAnsi="Times New Roman"/>
          <w:color w:val="000000"/>
          <w:sz w:val="28"/>
          <w:szCs w:val="28"/>
        </w:rPr>
        <w:t>а в такої кредитної спілки відсутня ліцензія на залучення  фінансових активів із зобов’язанням щодо їх повернення.</w:t>
      </w:r>
    </w:p>
    <w:p w:rsidR="00E628B1" w:rsidRPr="00C643B7" w:rsidRDefault="00E628B1" w:rsidP="004646FD">
      <w:pPr>
        <w:spacing w:line="240" w:lineRule="auto"/>
        <w:ind w:firstLine="851"/>
        <w:rPr>
          <w:rFonts w:ascii="Times New Roman" w:hAnsi="Times New Roman"/>
          <w:sz w:val="28"/>
          <w:szCs w:val="28"/>
        </w:rPr>
      </w:pPr>
    </w:p>
    <w:p w:rsidR="00A644A9" w:rsidRPr="00C643B7" w:rsidRDefault="0029227E" w:rsidP="004646FD">
      <w:pPr>
        <w:spacing w:after="0" w:line="240" w:lineRule="auto"/>
        <w:rPr>
          <w:rFonts w:ascii="Times New Roman" w:hAnsi="Times New Roman"/>
          <w:sz w:val="28"/>
          <w:szCs w:val="28"/>
        </w:rPr>
        <w:sectPr w:rsidR="00A644A9" w:rsidRPr="00C643B7" w:rsidSect="00A644A9">
          <w:headerReference w:type="default" r:id="rId16"/>
          <w:pgSz w:w="11906" w:h="16838"/>
          <w:pgMar w:top="1134" w:right="851" w:bottom="1134" w:left="1701" w:header="709" w:footer="709" w:gutter="0"/>
          <w:pgNumType w:start="1"/>
          <w:cols w:space="708"/>
          <w:titlePg/>
          <w:docGrid w:linePitch="360"/>
        </w:sectPr>
      </w:pPr>
      <w:r w:rsidRPr="00C643B7">
        <w:rPr>
          <w:rFonts w:ascii="Times New Roman" w:hAnsi="Times New Roman"/>
          <w:sz w:val="28"/>
          <w:szCs w:val="28"/>
        </w:rPr>
        <w:br w:type="page"/>
      </w:r>
    </w:p>
    <w:p w:rsidR="00E628B1" w:rsidRPr="00C643B7" w:rsidRDefault="00E628B1" w:rsidP="004646FD">
      <w:pPr>
        <w:pStyle w:val="a6"/>
        <w:tabs>
          <w:tab w:val="left" w:pos="4820"/>
        </w:tabs>
        <w:spacing w:after="0" w:line="240" w:lineRule="auto"/>
        <w:ind w:left="4961"/>
        <w:jc w:val="both"/>
        <w:rPr>
          <w:rFonts w:ascii="Times New Roman" w:hAnsi="Times New Roman"/>
          <w:sz w:val="28"/>
          <w:szCs w:val="28"/>
          <w:lang w:val="uk-UA"/>
        </w:rPr>
      </w:pPr>
      <w:r w:rsidRPr="00C643B7">
        <w:rPr>
          <w:rFonts w:ascii="Times New Roman" w:hAnsi="Times New Roman"/>
          <w:sz w:val="28"/>
          <w:szCs w:val="28"/>
          <w:lang w:val="uk-UA"/>
        </w:rPr>
        <w:lastRenderedPageBreak/>
        <w:t>Додаток 6</w:t>
      </w:r>
    </w:p>
    <w:p w:rsidR="00AE2B7E" w:rsidRPr="00C643B7" w:rsidRDefault="00AE2B7E" w:rsidP="004646FD">
      <w:pPr>
        <w:keepNext/>
        <w:spacing w:after="0" w:line="240" w:lineRule="auto"/>
        <w:ind w:left="4961"/>
        <w:jc w:val="both"/>
        <w:outlineLvl w:val="2"/>
        <w:rPr>
          <w:rFonts w:ascii="Times New Roman" w:eastAsia="Times New Roman" w:hAnsi="Times New Roman"/>
          <w:b/>
          <w:bCs/>
          <w:color w:val="000000"/>
          <w:sz w:val="28"/>
          <w:szCs w:val="28"/>
          <w:lang w:eastAsia="uk-UA"/>
        </w:rPr>
      </w:pPr>
      <w:r w:rsidRPr="00C643B7">
        <w:rPr>
          <w:rFonts w:ascii="Times New Roman" w:hAnsi="Times New Roman"/>
          <w:sz w:val="28"/>
          <w:szCs w:val="28"/>
        </w:rPr>
        <w:t xml:space="preserve">до </w:t>
      </w:r>
      <w:r w:rsidRPr="00C643B7">
        <w:rPr>
          <w:rFonts w:ascii="Times New Roman" w:eastAsia="Times New Roman" w:hAnsi="Times New Roman"/>
          <w:bCs/>
          <w:color w:val="000000"/>
          <w:sz w:val="28"/>
          <w:szCs w:val="28"/>
          <w:lang w:eastAsia="uk-UA"/>
        </w:rPr>
        <w:t>Положення про встановлення критеріїв, за якими оцінюється ступінь ризику від здійснення діяльності учасниками ринку небанківських фінансових послуг</w:t>
      </w:r>
      <w:r w:rsidR="004A7C7C" w:rsidRPr="00C643B7">
        <w:rPr>
          <w:rFonts w:ascii="Times New Roman" w:eastAsia="Times New Roman" w:hAnsi="Times New Roman"/>
          <w:bCs/>
          <w:color w:val="000000"/>
          <w:sz w:val="28"/>
          <w:szCs w:val="28"/>
          <w:lang w:eastAsia="uk-UA"/>
        </w:rPr>
        <w:t>,</w:t>
      </w:r>
      <w:r w:rsidRPr="00C643B7">
        <w:rPr>
          <w:rFonts w:ascii="Times New Roman" w:eastAsia="Times New Roman" w:hAnsi="Times New Roman"/>
          <w:bCs/>
          <w:color w:val="000000"/>
          <w:sz w:val="28"/>
          <w:szCs w:val="28"/>
          <w:lang w:eastAsia="uk-UA"/>
        </w:rPr>
        <w:t xml:space="preserve"> їх суспільну важливість, на підставі яких визначається періодичність проведення планових інспекційних перевірок, та поряд</w:t>
      </w:r>
      <w:r w:rsidR="004A7C7C" w:rsidRPr="00C643B7">
        <w:rPr>
          <w:rFonts w:ascii="Times New Roman" w:eastAsia="Times New Roman" w:hAnsi="Times New Roman"/>
          <w:bCs/>
          <w:color w:val="000000"/>
          <w:sz w:val="28"/>
          <w:szCs w:val="28"/>
          <w:lang w:eastAsia="uk-UA"/>
        </w:rPr>
        <w:t>о</w:t>
      </w:r>
      <w:r w:rsidRPr="00C643B7">
        <w:rPr>
          <w:rFonts w:ascii="Times New Roman" w:eastAsia="Times New Roman" w:hAnsi="Times New Roman"/>
          <w:bCs/>
          <w:color w:val="000000"/>
          <w:sz w:val="28"/>
          <w:szCs w:val="28"/>
          <w:lang w:eastAsia="uk-UA"/>
        </w:rPr>
        <w:t>к їх застосування</w:t>
      </w:r>
    </w:p>
    <w:p w:rsidR="00E628B1" w:rsidRPr="00C643B7" w:rsidRDefault="00AE2B7E" w:rsidP="004646FD">
      <w:pPr>
        <w:tabs>
          <w:tab w:val="left" w:pos="4820"/>
        </w:tabs>
        <w:spacing w:line="240" w:lineRule="auto"/>
        <w:ind w:left="4962"/>
        <w:jc w:val="both"/>
        <w:rPr>
          <w:rFonts w:ascii="Times New Roman" w:hAnsi="Times New Roman"/>
          <w:sz w:val="28"/>
          <w:szCs w:val="28"/>
        </w:rPr>
      </w:pPr>
      <w:r w:rsidRPr="00C643B7">
        <w:rPr>
          <w:rFonts w:ascii="Times New Roman" w:hAnsi="Times New Roman"/>
          <w:sz w:val="28"/>
          <w:szCs w:val="28"/>
        </w:rPr>
        <w:t>(пункт 19 розділу II)</w:t>
      </w:r>
    </w:p>
    <w:p w:rsidR="00E628B1" w:rsidRPr="00C643B7" w:rsidRDefault="00E628B1" w:rsidP="004646FD">
      <w:pPr>
        <w:spacing w:line="240" w:lineRule="auto"/>
        <w:jc w:val="center"/>
        <w:rPr>
          <w:rFonts w:ascii="Times New Roman" w:hAnsi="Times New Roman"/>
          <w:bCs/>
          <w:color w:val="000000" w:themeColor="text1"/>
          <w:sz w:val="28"/>
          <w:szCs w:val="28"/>
          <w:shd w:val="clear" w:color="auto" w:fill="FFFFFF"/>
        </w:rPr>
      </w:pPr>
      <w:r w:rsidRPr="00C643B7">
        <w:rPr>
          <w:rFonts w:ascii="Times New Roman" w:hAnsi="Times New Roman"/>
          <w:color w:val="000000" w:themeColor="text1"/>
          <w:sz w:val="28"/>
          <w:szCs w:val="28"/>
        </w:rPr>
        <w:t>Критерії для визначення суспільної важливості фінансової компанії</w:t>
      </w:r>
      <w:r w:rsidRPr="00C643B7">
        <w:rPr>
          <w:rFonts w:ascii="Times New Roman" w:hAnsi="Times New Roman"/>
          <w:bCs/>
          <w:color w:val="000000" w:themeColor="text1"/>
          <w:sz w:val="28"/>
          <w:szCs w:val="28"/>
          <w:shd w:val="clear" w:color="auto" w:fill="FFFFFF"/>
        </w:rPr>
        <w:t xml:space="preserve">, </w:t>
      </w:r>
      <w:r w:rsidR="00AB2F11" w:rsidRPr="00C643B7">
        <w:rPr>
          <w:rFonts w:ascii="Times New Roman" w:hAnsi="Times New Roman"/>
          <w:bCs/>
          <w:color w:val="000000" w:themeColor="text1"/>
          <w:sz w:val="28"/>
          <w:szCs w:val="28"/>
          <w:shd w:val="clear" w:color="auto" w:fill="FFFFFF"/>
        </w:rPr>
        <w:t>юридичної особи, яка не є фінансовою установою, але має право надавати послуги з фінансового лізингу (</w:t>
      </w:r>
      <w:r w:rsidRPr="00C643B7">
        <w:rPr>
          <w:rFonts w:ascii="Times New Roman" w:hAnsi="Times New Roman"/>
          <w:bCs/>
          <w:color w:val="000000" w:themeColor="text1"/>
          <w:sz w:val="28"/>
          <w:szCs w:val="28"/>
          <w:shd w:val="clear" w:color="auto" w:fill="FFFFFF"/>
        </w:rPr>
        <w:t>лізингодавця</w:t>
      </w:r>
      <w:r w:rsidR="00AB2F11" w:rsidRPr="00C643B7">
        <w:rPr>
          <w:rFonts w:ascii="Times New Roman" w:hAnsi="Times New Roman"/>
          <w:bCs/>
          <w:color w:val="000000" w:themeColor="text1"/>
          <w:sz w:val="28"/>
          <w:szCs w:val="28"/>
          <w:shd w:val="clear" w:color="auto" w:fill="FFFFFF"/>
        </w:rPr>
        <w:t>),</w:t>
      </w:r>
      <w:r w:rsidRPr="00C643B7">
        <w:rPr>
          <w:rFonts w:ascii="Times New Roman" w:hAnsi="Times New Roman"/>
          <w:bCs/>
          <w:color w:val="000000" w:themeColor="text1"/>
          <w:sz w:val="28"/>
          <w:szCs w:val="28"/>
          <w:shd w:val="clear" w:color="auto" w:fill="FFFFFF"/>
        </w:rPr>
        <w:t xml:space="preserve"> ломбарду</w:t>
      </w:r>
    </w:p>
    <w:tbl>
      <w:tblPr>
        <w:tblpPr w:leftFromText="180" w:rightFromText="180" w:vertAnchor="text" w:tblpY="1"/>
        <w:tblOverlap w:val="neve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98"/>
        <w:gridCol w:w="5114"/>
        <w:gridCol w:w="2082"/>
        <w:gridCol w:w="1540"/>
      </w:tblGrid>
      <w:tr w:rsidR="002208FC" w:rsidRPr="00C643B7" w:rsidTr="00A80BA3">
        <w:tc>
          <w:tcPr>
            <w:tcW w:w="698" w:type="dxa"/>
          </w:tcPr>
          <w:p w:rsidR="00E628B1" w:rsidRPr="00C643B7" w:rsidRDefault="007F4321" w:rsidP="004646FD">
            <w:pPr>
              <w:spacing w:after="0" w:line="240" w:lineRule="auto"/>
              <w:jc w:val="center"/>
              <w:rPr>
                <w:rFonts w:ascii="Times New Roman" w:hAnsi="Times New Roman"/>
                <w:sz w:val="28"/>
                <w:szCs w:val="28"/>
              </w:rPr>
            </w:pPr>
            <w:r w:rsidRPr="00C643B7">
              <w:rPr>
                <w:rFonts w:ascii="Times New Roman" w:hAnsi="Times New Roman"/>
                <w:sz w:val="28"/>
                <w:szCs w:val="28"/>
              </w:rPr>
              <w:t>№</w:t>
            </w:r>
          </w:p>
          <w:p w:rsidR="007F4321" w:rsidRPr="00C643B7" w:rsidRDefault="007F4321" w:rsidP="004646FD">
            <w:pPr>
              <w:spacing w:after="0" w:line="240" w:lineRule="auto"/>
              <w:jc w:val="center"/>
              <w:rPr>
                <w:rFonts w:ascii="Times New Roman" w:hAnsi="Times New Roman"/>
                <w:sz w:val="28"/>
                <w:szCs w:val="28"/>
              </w:rPr>
            </w:pPr>
            <w:r w:rsidRPr="00C643B7">
              <w:rPr>
                <w:rFonts w:ascii="Times New Roman" w:hAnsi="Times New Roman"/>
                <w:sz w:val="28"/>
                <w:szCs w:val="28"/>
              </w:rPr>
              <w:t>з/п</w:t>
            </w:r>
          </w:p>
        </w:tc>
        <w:tc>
          <w:tcPr>
            <w:tcW w:w="5114" w:type="dxa"/>
          </w:tcPr>
          <w:p w:rsidR="00E628B1" w:rsidRPr="00C643B7" w:rsidRDefault="00E628B1" w:rsidP="004646FD">
            <w:pPr>
              <w:spacing w:after="0" w:line="240" w:lineRule="auto"/>
              <w:jc w:val="center"/>
              <w:rPr>
                <w:rFonts w:ascii="Times New Roman" w:hAnsi="Times New Roman"/>
                <w:sz w:val="28"/>
                <w:szCs w:val="28"/>
              </w:rPr>
            </w:pPr>
            <w:r w:rsidRPr="00C643B7">
              <w:rPr>
                <w:rFonts w:ascii="Times New Roman" w:hAnsi="Times New Roman"/>
                <w:color w:val="000000"/>
                <w:sz w:val="28"/>
                <w:szCs w:val="28"/>
              </w:rPr>
              <w:t>Показники розподілу</w:t>
            </w:r>
          </w:p>
        </w:tc>
        <w:tc>
          <w:tcPr>
            <w:tcW w:w="2082" w:type="dxa"/>
          </w:tcPr>
          <w:p w:rsidR="00E628B1" w:rsidRPr="00C643B7" w:rsidRDefault="00E628B1" w:rsidP="004646FD">
            <w:pPr>
              <w:spacing w:after="0" w:line="240" w:lineRule="auto"/>
              <w:jc w:val="center"/>
              <w:rPr>
                <w:rFonts w:ascii="Times New Roman" w:hAnsi="Times New Roman"/>
                <w:sz w:val="28"/>
                <w:szCs w:val="28"/>
              </w:rPr>
            </w:pPr>
            <w:r w:rsidRPr="00C643B7">
              <w:rPr>
                <w:rFonts w:ascii="Times New Roman" w:hAnsi="Times New Roman"/>
                <w:sz w:val="28"/>
                <w:szCs w:val="28"/>
              </w:rPr>
              <w:t>Вага показника,%</w:t>
            </w:r>
          </w:p>
        </w:tc>
        <w:tc>
          <w:tcPr>
            <w:tcW w:w="1540" w:type="dxa"/>
          </w:tcPr>
          <w:p w:rsidR="00E628B1" w:rsidRPr="00C643B7" w:rsidRDefault="00E628B1" w:rsidP="004646FD">
            <w:pPr>
              <w:spacing w:after="0" w:line="240" w:lineRule="auto"/>
              <w:jc w:val="center"/>
              <w:rPr>
                <w:rFonts w:ascii="Times New Roman" w:hAnsi="Times New Roman"/>
                <w:sz w:val="28"/>
                <w:szCs w:val="28"/>
              </w:rPr>
            </w:pPr>
            <w:r w:rsidRPr="00C643B7">
              <w:rPr>
                <w:rFonts w:ascii="Times New Roman" w:hAnsi="Times New Roman"/>
                <w:color w:val="000000"/>
                <w:sz w:val="28"/>
                <w:szCs w:val="28"/>
              </w:rPr>
              <w:t>Суспільна важливість</w:t>
            </w:r>
            <w:r w:rsidRPr="00C643B7">
              <w:rPr>
                <w:rFonts w:ascii="Times New Roman" w:hAnsi="Times New Roman"/>
                <w:color w:val="000000"/>
                <w:sz w:val="28"/>
                <w:szCs w:val="28"/>
              </w:rPr>
              <w:br/>
              <w:t>(групи)</w:t>
            </w:r>
          </w:p>
        </w:tc>
      </w:tr>
    </w:tbl>
    <w:p w:rsidR="00A80BA3" w:rsidRPr="00C643B7" w:rsidRDefault="00A80BA3" w:rsidP="004646FD">
      <w:pPr>
        <w:spacing w:after="0" w:line="240" w:lineRule="auto"/>
        <w:rPr>
          <w:sz w:val="2"/>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98"/>
        <w:gridCol w:w="5114"/>
        <w:gridCol w:w="2082"/>
        <w:gridCol w:w="1540"/>
      </w:tblGrid>
      <w:tr w:rsidR="007F4321" w:rsidRPr="00C643B7" w:rsidTr="005A787C">
        <w:trPr>
          <w:tblHeader/>
        </w:trPr>
        <w:tc>
          <w:tcPr>
            <w:tcW w:w="698" w:type="dxa"/>
          </w:tcPr>
          <w:p w:rsidR="007F4321" w:rsidRPr="00C643B7" w:rsidRDefault="007F4321" w:rsidP="004646FD">
            <w:pPr>
              <w:spacing w:after="0" w:line="240" w:lineRule="auto"/>
              <w:jc w:val="center"/>
              <w:rPr>
                <w:rFonts w:ascii="Times New Roman" w:hAnsi="Times New Roman"/>
                <w:sz w:val="28"/>
                <w:szCs w:val="28"/>
              </w:rPr>
            </w:pPr>
            <w:r w:rsidRPr="00C643B7">
              <w:rPr>
                <w:rFonts w:ascii="Times New Roman" w:hAnsi="Times New Roman"/>
                <w:sz w:val="28"/>
                <w:szCs w:val="28"/>
              </w:rPr>
              <w:t>1</w:t>
            </w:r>
          </w:p>
        </w:tc>
        <w:tc>
          <w:tcPr>
            <w:tcW w:w="5114" w:type="dxa"/>
          </w:tcPr>
          <w:p w:rsidR="007F4321" w:rsidRPr="00C643B7" w:rsidRDefault="007F4321" w:rsidP="004646FD">
            <w:pPr>
              <w:spacing w:after="0" w:line="240" w:lineRule="auto"/>
              <w:jc w:val="center"/>
              <w:rPr>
                <w:rFonts w:ascii="Times New Roman" w:hAnsi="Times New Roman"/>
                <w:color w:val="000000"/>
                <w:sz w:val="28"/>
                <w:szCs w:val="28"/>
              </w:rPr>
            </w:pPr>
            <w:r w:rsidRPr="00C643B7">
              <w:rPr>
                <w:rFonts w:ascii="Times New Roman" w:hAnsi="Times New Roman"/>
                <w:color w:val="000000"/>
                <w:sz w:val="28"/>
                <w:szCs w:val="28"/>
              </w:rPr>
              <w:t>2</w:t>
            </w:r>
          </w:p>
        </w:tc>
        <w:tc>
          <w:tcPr>
            <w:tcW w:w="2082" w:type="dxa"/>
          </w:tcPr>
          <w:p w:rsidR="007F4321" w:rsidRPr="00C643B7" w:rsidRDefault="007F4321" w:rsidP="004646FD">
            <w:pPr>
              <w:spacing w:after="0" w:line="240" w:lineRule="auto"/>
              <w:jc w:val="center"/>
              <w:rPr>
                <w:rFonts w:ascii="Times New Roman" w:hAnsi="Times New Roman"/>
                <w:sz w:val="28"/>
                <w:szCs w:val="28"/>
              </w:rPr>
            </w:pPr>
            <w:r w:rsidRPr="00C643B7">
              <w:rPr>
                <w:rFonts w:ascii="Times New Roman" w:hAnsi="Times New Roman"/>
                <w:sz w:val="28"/>
                <w:szCs w:val="28"/>
              </w:rPr>
              <w:t>2</w:t>
            </w:r>
          </w:p>
        </w:tc>
        <w:tc>
          <w:tcPr>
            <w:tcW w:w="1540" w:type="dxa"/>
          </w:tcPr>
          <w:p w:rsidR="007F4321" w:rsidRPr="00C643B7" w:rsidRDefault="007F4321" w:rsidP="004646FD">
            <w:pPr>
              <w:spacing w:after="0" w:line="240" w:lineRule="auto"/>
              <w:jc w:val="center"/>
              <w:rPr>
                <w:rFonts w:ascii="Times New Roman" w:hAnsi="Times New Roman"/>
                <w:color w:val="000000"/>
                <w:sz w:val="28"/>
                <w:szCs w:val="28"/>
              </w:rPr>
            </w:pPr>
            <w:r w:rsidRPr="00C643B7">
              <w:rPr>
                <w:rFonts w:ascii="Times New Roman" w:hAnsi="Times New Roman"/>
                <w:color w:val="000000"/>
                <w:sz w:val="28"/>
                <w:szCs w:val="28"/>
              </w:rPr>
              <w:t>3</w:t>
            </w:r>
          </w:p>
        </w:tc>
      </w:tr>
      <w:tr w:rsidR="002208FC" w:rsidRPr="00C643B7" w:rsidTr="005A787C">
        <w:tc>
          <w:tcPr>
            <w:tcW w:w="698" w:type="dxa"/>
          </w:tcPr>
          <w:p w:rsidR="00E628B1" w:rsidRPr="00C643B7" w:rsidRDefault="00E628B1" w:rsidP="004646FD">
            <w:pPr>
              <w:spacing w:after="0" w:line="240" w:lineRule="auto"/>
              <w:jc w:val="center"/>
              <w:rPr>
                <w:rFonts w:ascii="Times New Roman" w:hAnsi="Times New Roman"/>
                <w:sz w:val="28"/>
                <w:szCs w:val="28"/>
              </w:rPr>
            </w:pPr>
            <w:r w:rsidRPr="00C643B7">
              <w:rPr>
                <w:rFonts w:ascii="Times New Roman" w:hAnsi="Times New Roman"/>
                <w:sz w:val="28"/>
                <w:szCs w:val="28"/>
              </w:rPr>
              <w:t>1</w:t>
            </w:r>
          </w:p>
        </w:tc>
        <w:tc>
          <w:tcPr>
            <w:tcW w:w="5114" w:type="dxa"/>
          </w:tcPr>
          <w:p w:rsidR="00E628B1" w:rsidRPr="00C643B7" w:rsidRDefault="00924C6B" w:rsidP="004646FD">
            <w:pPr>
              <w:spacing w:after="0" w:line="240" w:lineRule="auto"/>
              <w:ind w:firstLine="295"/>
              <w:jc w:val="both"/>
              <w:rPr>
                <w:rFonts w:ascii="Times New Roman" w:hAnsi="Times New Roman"/>
                <w:sz w:val="28"/>
                <w:szCs w:val="28"/>
              </w:rPr>
            </w:pPr>
            <w:r w:rsidRPr="00C643B7">
              <w:rPr>
                <w:rFonts w:ascii="Times New Roman" w:hAnsi="Times New Roman"/>
                <w:sz w:val="28"/>
                <w:szCs w:val="28"/>
              </w:rPr>
              <w:t xml:space="preserve">Учаснику </w:t>
            </w:r>
            <w:r w:rsidR="00E628B1" w:rsidRPr="00C643B7">
              <w:rPr>
                <w:rFonts w:ascii="Times New Roman" w:hAnsi="Times New Roman"/>
                <w:sz w:val="28"/>
                <w:szCs w:val="28"/>
              </w:rPr>
              <w:t xml:space="preserve">присвоюється </w:t>
            </w:r>
            <w:r w:rsidR="00152B1B" w:rsidRPr="00C643B7">
              <w:rPr>
                <w:rFonts w:ascii="Times New Roman" w:hAnsi="Times New Roman"/>
                <w:sz w:val="28"/>
                <w:szCs w:val="28"/>
              </w:rPr>
              <w:t>друга група</w:t>
            </w:r>
            <w:r w:rsidR="00E628B1" w:rsidRPr="00C643B7">
              <w:rPr>
                <w:rFonts w:ascii="Times New Roman" w:hAnsi="Times New Roman"/>
                <w:sz w:val="28"/>
                <w:szCs w:val="28"/>
              </w:rPr>
              <w:t xml:space="preserve"> суспільної важливості, якщо вона відповідає одному та/або декіл</w:t>
            </w:r>
            <w:r w:rsidR="00141E6F" w:rsidRPr="00C643B7">
              <w:rPr>
                <w:rFonts w:ascii="Times New Roman" w:hAnsi="Times New Roman"/>
                <w:sz w:val="28"/>
                <w:szCs w:val="28"/>
              </w:rPr>
              <w:t>ь</w:t>
            </w:r>
            <w:r w:rsidR="00E628B1" w:rsidRPr="00C643B7">
              <w:rPr>
                <w:rFonts w:ascii="Times New Roman" w:hAnsi="Times New Roman"/>
                <w:sz w:val="28"/>
                <w:szCs w:val="28"/>
              </w:rPr>
              <w:t>к</w:t>
            </w:r>
            <w:r w:rsidR="00141E6F" w:rsidRPr="00C643B7">
              <w:rPr>
                <w:rFonts w:ascii="Times New Roman" w:hAnsi="Times New Roman"/>
                <w:sz w:val="28"/>
                <w:szCs w:val="28"/>
              </w:rPr>
              <w:t>о</w:t>
            </w:r>
            <w:r w:rsidR="00E628B1" w:rsidRPr="00C643B7">
              <w:rPr>
                <w:rFonts w:ascii="Times New Roman" w:hAnsi="Times New Roman"/>
                <w:sz w:val="28"/>
                <w:szCs w:val="28"/>
              </w:rPr>
              <w:t xml:space="preserve">м показникам: </w:t>
            </w:r>
          </w:p>
          <w:p w:rsidR="00E628B1" w:rsidRPr="00C643B7" w:rsidRDefault="00E628B1" w:rsidP="004646FD">
            <w:pPr>
              <w:pStyle w:val="a6"/>
              <w:numPr>
                <w:ilvl w:val="0"/>
                <w:numId w:val="7"/>
              </w:numPr>
              <w:spacing w:before="120" w:after="120" w:line="240" w:lineRule="auto"/>
              <w:ind w:left="0" w:firstLine="283"/>
              <w:contextualSpacing w:val="0"/>
              <w:jc w:val="both"/>
              <w:rPr>
                <w:rFonts w:ascii="Times New Roman" w:hAnsi="Times New Roman"/>
                <w:sz w:val="28"/>
                <w:szCs w:val="28"/>
                <w:lang w:val="uk-UA"/>
              </w:rPr>
            </w:pPr>
            <w:r w:rsidRPr="00C643B7">
              <w:rPr>
                <w:rFonts w:ascii="Times New Roman" w:hAnsi="Times New Roman"/>
                <w:sz w:val="28"/>
                <w:szCs w:val="28"/>
                <w:lang w:val="uk-UA"/>
              </w:rPr>
              <w:t xml:space="preserve">За період оцінки </w:t>
            </w:r>
            <w:r w:rsidR="00C2490F" w:rsidRPr="00C643B7">
              <w:rPr>
                <w:rFonts w:ascii="Times New Roman" w:hAnsi="Times New Roman"/>
                <w:sz w:val="28"/>
                <w:szCs w:val="28"/>
                <w:lang w:val="uk-UA"/>
              </w:rPr>
              <w:t>учасником</w:t>
            </w:r>
            <w:r w:rsidR="00A41C3B" w:rsidRPr="00C643B7">
              <w:rPr>
                <w:rFonts w:ascii="Times New Roman" w:hAnsi="Times New Roman"/>
                <w:sz w:val="28"/>
                <w:szCs w:val="28"/>
                <w:lang w:val="uk-UA"/>
              </w:rPr>
              <w:t xml:space="preserve"> було видано</w:t>
            </w:r>
            <w:r w:rsidRPr="00C643B7">
              <w:rPr>
                <w:rFonts w:ascii="Times New Roman" w:hAnsi="Times New Roman"/>
                <w:sz w:val="28"/>
                <w:szCs w:val="28"/>
                <w:lang w:val="uk-UA"/>
              </w:rPr>
              <w:t xml:space="preserve"> гарантії, обсяг яких на ринку становив </w:t>
            </w:r>
            <w:r w:rsidR="008A7A00" w:rsidRPr="00C643B7">
              <w:rPr>
                <w:rFonts w:ascii="Times New Roman" w:hAnsi="Times New Roman"/>
                <w:sz w:val="28"/>
                <w:szCs w:val="28"/>
                <w:lang w:val="uk-UA"/>
              </w:rPr>
              <w:t xml:space="preserve">більше </w:t>
            </w:r>
            <w:r w:rsidRPr="00C643B7">
              <w:rPr>
                <w:rFonts w:ascii="Times New Roman" w:hAnsi="Times New Roman"/>
                <w:sz w:val="28"/>
                <w:szCs w:val="28"/>
                <w:lang w:val="uk-UA"/>
              </w:rPr>
              <w:t>0.5</w:t>
            </w:r>
            <w:r w:rsidR="008A7A00" w:rsidRPr="00C643B7">
              <w:rPr>
                <w:rFonts w:ascii="Times New Roman" w:hAnsi="Times New Roman"/>
                <w:sz w:val="28"/>
                <w:szCs w:val="28"/>
                <w:lang w:val="uk-UA"/>
              </w:rPr>
              <w:t>%</w:t>
            </w:r>
            <w:r w:rsidR="00A41C3B" w:rsidRPr="00C643B7">
              <w:rPr>
                <w:rFonts w:ascii="Times New Roman" w:hAnsi="Times New Roman"/>
                <w:sz w:val="28"/>
                <w:szCs w:val="28"/>
                <w:lang w:val="uk-UA"/>
              </w:rPr>
              <w:t xml:space="preserve"> </w:t>
            </w:r>
            <w:r w:rsidR="008A7A00" w:rsidRPr="00C643B7">
              <w:rPr>
                <w:rFonts w:ascii="Times New Roman" w:hAnsi="Times New Roman"/>
                <w:sz w:val="28"/>
                <w:szCs w:val="28"/>
                <w:lang w:val="uk-UA"/>
              </w:rPr>
              <w:t xml:space="preserve">від </w:t>
            </w:r>
            <w:r w:rsidR="00A41C3B" w:rsidRPr="00C643B7">
              <w:rPr>
                <w:rFonts w:ascii="Times New Roman" w:hAnsi="Times New Roman"/>
                <w:sz w:val="28"/>
                <w:szCs w:val="28"/>
                <w:lang w:val="uk-UA"/>
              </w:rPr>
              <w:t xml:space="preserve">загальної кількості гарантій, виданих всіма </w:t>
            </w:r>
            <w:r w:rsidR="00883C13" w:rsidRPr="00C643B7">
              <w:rPr>
                <w:rFonts w:ascii="Times New Roman" w:hAnsi="Times New Roman"/>
                <w:sz w:val="28"/>
                <w:szCs w:val="28"/>
                <w:lang w:val="uk-UA"/>
              </w:rPr>
              <w:t xml:space="preserve">учасниками </w:t>
            </w:r>
            <w:r w:rsidR="00A41C3B" w:rsidRPr="00C643B7">
              <w:rPr>
                <w:rFonts w:ascii="Times New Roman" w:hAnsi="Times New Roman"/>
                <w:sz w:val="28"/>
                <w:szCs w:val="28"/>
                <w:lang w:val="uk-UA"/>
              </w:rPr>
              <w:t>за відповідний період</w:t>
            </w:r>
            <w:r w:rsidRPr="00C643B7">
              <w:rPr>
                <w:rFonts w:ascii="Times New Roman" w:hAnsi="Times New Roman"/>
                <w:sz w:val="28"/>
                <w:szCs w:val="28"/>
                <w:lang w:val="uk-UA"/>
              </w:rPr>
              <w:t>;</w:t>
            </w:r>
          </w:p>
          <w:p w:rsidR="00E628B1" w:rsidRPr="00C643B7" w:rsidRDefault="00E628B1" w:rsidP="004646FD">
            <w:pPr>
              <w:pStyle w:val="a6"/>
              <w:numPr>
                <w:ilvl w:val="0"/>
                <w:numId w:val="7"/>
              </w:numPr>
              <w:spacing w:before="120" w:after="120" w:line="240" w:lineRule="auto"/>
              <w:ind w:left="0" w:firstLine="283"/>
              <w:contextualSpacing w:val="0"/>
              <w:jc w:val="both"/>
              <w:rPr>
                <w:rFonts w:ascii="Times New Roman" w:hAnsi="Times New Roman"/>
                <w:sz w:val="28"/>
                <w:szCs w:val="28"/>
                <w:lang w:val="uk-UA"/>
              </w:rPr>
            </w:pPr>
            <w:r w:rsidRPr="00C643B7">
              <w:rPr>
                <w:rFonts w:ascii="Times New Roman" w:hAnsi="Times New Roman"/>
                <w:sz w:val="28"/>
                <w:szCs w:val="28"/>
                <w:lang w:val="uk-UA"/>
              </w:rPr>
              <w:t xml:space="preserve">Обсяг операцій за період оцінки на ринку </w:t>
            </w:r>
            <w:r w:rsidR="002208FC" w:rsidRPr="00C643B7">
              <w:rPr>
                <w:rFonts w:ascii="Times New Roman" w:hAnsi="Times New Roman"/>
                <w:sz w:val="28"/>
                <w:szCs w:val="28"/>
                <w:lang w:val="uk-UA"/>
              </w:rPr>
              <w:t xml:space="preserve">небанківських фінансових послуг </w:t>
            </w:r>
            <w:r w:rsidRPr="00C643B7">
              <w:rPr>
                <w:rFonts w:ascii="Times New Roman" w:hAnsi="Times New Roman"/>
                <w:sz w:val="28"/>
                <w:szCs w:val="28"/>
                <w:lang w:val="uk-UA"/>
              </w:rPr>
              <w:t>ломбардів перевищував 5%</w:t>
            </w:r>
            <w:r w:rsidR="00BA1F14" w:rsidRPr="00C643B7">
              <w:rPr>
                <w:rFonts w:ascii="Times New Roman" w:hAnsi="Times New Roman"/>
                <w:sz w:val="28"/>
                <w:szCs w:val="28"/>
                <w:lang w:val="uk-UA"/>
              </w:rPr>
              <w:t xml:space="preserve"> від загальної кількості </w:t>
            </w:r>
            <w:r w:rsidR="002208FC" w:rsidRPr="00C643B7">
              <w:rPr>
                <w:rFonts w:ascii="Times New Roman" w:hAnsi="Times New Roman"/>
                <w:sz w:val="28"/>
                <w:szCs w:val="28"/>
                <w:lang w:val="uk-UA"/>
              </w:rPr>
              <w:t>операцій, здійсн</w:t>
            </w:r>
            <w:r w:rsidR="00822DB5" w:rsidRPr="00C643B7">
              <w:rPr>
                <w:rFonts w:ascii="Times New Roman" w:hAnsi="Times New Roman"/>
                <w:sz w:val="28"/>
                <w:szCs w:val="28"/>
                <w:lang w:val="uk-UA"/>
              </w:rPr>
              <w:t>ених</w:t>
            </w:r>
            <w:r w:rsidR="002208FC" w:rsidRPr="00C643B7">
              <w:rPr>
                <w:rFonts w:ascii="Times New Roman" w:hAnsi="Times New Roman"/>
                <w:sz w:val="28"/>
                <w:szCs w:val="28"/>
                <w:lang w:val="uk-UA"/>
              </w:rPr>
              <w:t xml:space="preserve"> ломбардами за відповідний період</w:t>
            </w:r>
            <w:r w:rsidRPr="00C643B7">
              <w:rPr>
                <w:rFonts w:ascii="Times New Roman" w:hAnsi="Times New Roman"/>
                <w:sz w:val="28"/>
                <w:szCs w:val="28"/>
                <w:lang w:val="uk-UA"/>
              </w:rPr>
              <w:t>;</w:t>
            </w:r>
          </w:p>
          <w:p w:rsidR="00E628B1" w:rsidRPr="00C643B7" w:rsidRDefault="00E628B1" w:rsidP="004646FD">
            <w:pPr>
              <w:pStyle w:val="a6"/>
              <w:numPr>
                <w:ilvl w:val="0"/>
                <w:numId w:val="7"/>
              </w:numPr>
              <w:spacing w:before="120" w:after="120" w:line="240" w:lineRule="auto"/>
              <w:ind w:left="0" w:firstLine="283"/>
              <w:contextualSpacing w:val="0"/>
              <w:jc w:val="both"/>
              <w:rPr>
                <w:rFonts w:ascii="Times New Roman" w:hAnsi="Times New Roman"/>
                <w:sz w:val="28"/>
                <w:szCs w:val="28"/>
                <w:lang w:val="uk-UA"/>
              </w:rPr>
            </w:pPr>
            <w:r w:rsidRPr="00C643B7">
              <w:rPr>
                <w:rFonts w:ascii="Times New Roman" w:hAnsi="Times New Roman"/>
                <w:sz w:val="28"/>
                <w:szCs w:val="28"/>
                <w:lang w:val="uk-UA"/>
              </w:rPr>
              <w:t xml:space="preserve"> Обсяг операцій за період оцінки на ринку</w:t>
            </w:r>
            <w:r w:rsidR="002208FC" w:rsidRPr="00C643B7">
              <w:rPr>
                <w:rFonts w:ascii="Times New Roman" w:hAnsi="Times New Roman"/>
                <w:sz w:val="28"/>
                <w:szCs w:val="28"/>
                <w:lang w:val="uk-UA"/>
              </w:rPr>
              <w:t xml:space="preserve"> фінансового лізингу</w:t>
            </w:r>
            <w:r w:rsidRPr="00C643B7">
              <w:rPr>
                <w:rFonts w:ascii="Times New Roman" w:hAnsi="Times New Roman"/>
                <w:sz w:val="28"/>
                <w:szCs w:val="28"/>
                <w:lang w:val="uk-UA"/>
              </w:rPr>
              <w:t xml:space="preserve"> </w:t>
            </w:r>
            <w:r w:rsidR="002208FC" w:rsidRPr="00C643B7">
              <w:rPr>
                <w:rFonts w:ascii="Times New Roman" w:hAnsi="Times New Roman"/>
                <w:sz w:val="28"/>
                <w:szCs w:val="28"/>
                <w:lang w:val="uk-UA"/>
              </w:rPr>
              <w:t xml:space="preserve">лізингодавцями </w:t>
            </w:r>
            <w:r w:rsidRPr="00C643B7">
              <w:rPr>
                <w:rFonts w:ascii="Times New Roman" w:hAnsi="Times New Roman"/>
                <w:sz w:val="28"/>
                <w:szCs w:val="28"/>
                <w:lang w:val="uk-UA"/>
              </w:rPr>
              <w:t>перевищував 5%</w:t>
            </w:r>
            <w:r w:rsidR="002208FC" w:rsidRPr="00C643B7">
              <w:rPr>
                <w:rFonts w:ascii="Times New Roman" w:hAnsi="Times New Roman"/>
                <w:sz w:val="28"/>
                <w:szCs w:val="28"/>
                <w:lang w:val="uk-UA"/>
              </w:rPr>
              <w:t xml:space="preserve"> від  загальної кількості операцій, </w:t>
            </w:r>
            <w:r w:rsidR="00822DB5" w:rsidRPr="00C643B7">
              <w:rPr>
                <w:rFonts w:ascii="Times New Roman" w:hAnsi="Times New Roman"/>
                <w:sz w:val="28"/>
                <w:szCs w:val="28"/>
                <w:lang w:val="uk-UA"/>
              </w:rPr>
              <w:t>здійснених</w:t>
            </w:r>
            <w:r w:rsidR="002208FC" w:rsidRPr="00C643B7">
              <w:rPr>
                <w:rFonts w:ascii="Times New Roman" w:hAnsi="Times New Roman"/>
                <w:sz w:val="28"/>
                <w:szCs w:val="28"/>
                <w:lang w:val="uk-UA"/>
              </w:rPr>
              <w:t xml:space="preserve"> лізингодавцями за відповідний період</w:t>
            </w:r>
            <w:r w:rsidRPr="00C643B7">
              <w:rPr>
                <w:rFonts w:ascii="Times New Roman" w:hAnsi="Times New Roman"/>
                <w:sz w:val="28"/>
                <w:szCs w:val="28"/>
                <w:lang w:val="uk-UA"/>
              </w:rPr>
              <w:t>;</w:t>
            </w:r>
          </w:p>
          <w:p w:rsidR="00E628B1" w:rsidRPr="00C643B7" w:rsidRDefault="00E628B1" w:rsidP="004646FD">
            <w:pPr>
              <w:pStyle w:val="a6"/>
              <w:numPr>
                <w:ilvl w:val="0"/>
                <w:numId w:val="7"/>
              </w:numPr>
              <w:spacing w:before="120" w:after="120" w:line="240" w:lineRule="auto"/>
              <w:ind w:left="0" w:firstLine="283"/>
              <w:contextualSpacing w:val="0"/>
              <w:jc w:val="both"/>
              <w:rPr>
                <w:rFonts w:ascii="Times New Roman" w:hAnsi="Times New Roman"/>
                <w:sz w:val="28"/>
                <w:szCs w:val="28"/>
                <w:lang w:val="uk-UA"/>
              </w:rPr>
            </w:pPr>
            <w:r w:rsidRPr="00C643B7">
              <w:rPr>
                <w:rFonts w:ascii="Times New Roman" w:hAnsi="Times New Roman"/>
                <w:sz w:val="28"/>
                <w:szCs w:val="28"/>
                <w:lang w:val="uk-UA"/>
              </w:rPr>
              <w:t>Обсяг операцій за період оцінки  на ринку фінансового лізингу</w:t>
            </w:r>
            <w:r w:rsidR="00822DB5" w:rsidRPr="00C643B7">
              <w:rPr>
                <w:rFonts w:ascii="Times New Roman" w:hAnsi="Times New Roman"/>
                <w:sz w:val="28"/>
                <w:szCs w:val="28"/>
                <w:lang w:val="uk-UA"/>
              </w:rPr>
              <w:t xml:space="preserve"> </w:t>
            </w:r>
            <w:r w:rsidR="002208FC" w:rsidRPr="00C643B7">
              <w:rPr>
                <w:rFonts w:ascii="Times New Roman" w:hAnsi="Times New Roman"/>
                <w:sz w:val="28"/>
                <w:szCs w:val="28"/>
                <w:lang w:val="uk-UA"/>
              </w:rPr>
              <w:t xml:space="preserve">фінансовими компаніями </w:t>
            </w:r>
            <w:r w:rsidRPr="00C643B7">
              <w:rPr>
                <w:rFonts w:ascii="Times New Roman" w:hAnsi="Times New Roman"/>
                <w:sz w:val="28"/>
                <w:szCs w:val="28"/>
                <w:lang w:val="uk-UA"/>
              </w:rPr>
              <w:t xml:space="preserve">перевищував 5% </w:t>
            </w:r>
            <w:r w:rsidR="002208FC" w:rsidRPr="00C643B7">
              <w:rPr>
                <w:rFonts w:ascii="Times New Roman" w:hAnsi="Times New Roman"/>
                <w:sz w:val="28"/>
                <w:szCs w:val="28"/>
                <w:lang w:val="uk-UA"/>
              </w:rPr>
              <w:t xml:space="preserve">від загальної кількості операцій, </w:t>
            </w:r>
            <w:r w:rsidR="00822DB5" w:rsidRPr="00C643B7">
              <w:rPr>
                <w:rFonts w:ascii="Times New Roman" w:hAnsi="Times New Roman"/>
                <w:sz w:val="28"/>
                <w:szCs w:val="28"/>
                <w:lang w:val="uk-UA"/>
              </w:rPr>
              <w:t>здійснених</w:t>
            </w:r>
            <w:r w:rsidR="002208FC" w:rsidRPr="00C643B7">
              <w:rPr>
                <w:rFonts w:ascii="Times New Roman" w:hAnsi="Times New Roman"/>
                <w:sz w:val="28"/>
                <w:szCs w:val="28"/>
                <w:lang w:val="uk-UA"/>
              </w:rPr>
              <w:t xml:space="preserve"> </w:t>
            </w:r>
            <w:r w:rsidR="002208FC" w:rsidRPr="00C643B7">
              <w:rPr>
                <w:rFonts w:ascii="Times New Roman" w:hAnsi="Times New Roman"/>
                <w:sz w:val="28"/>
                <w:szCs w:val="28"/>
                <w:lang w:val="uk-UA"/>
              </w:rPr>
              <w:lastRenderedPageBreak/>
              <w:t>фінансовими компаніями на цьому ринку за відповідний період</w:t>
            </w:r>
            <w:r w:rsidRPr="00C643B7">
              <w:rPr>
                <w:rFonts w:ascii="Times New Roman" w:hAnsi="Times New Roman"/>
                <w:sz w:val="28"/>
                <w:szCs w:val="28"/>
                <w:lang w:val="uk-UA"/>
              </w:rPr>
              <w:t>;</w:t>
            </w:r>
          </w:p>
          <w:p w:rsidR="00E628B1" w:rsidRPr="00C643B7" w:rsidRDefault="00E628B1" w:rsidP="004646FD">
            <w:pPr>
              <w:pStyle w:val="a6"/>
              <w:numPr>
                <w:ilvl w:val="0"/>
                <w:numId w:val="7"/>
              </w:numPr>
              <w:spacing w:before="120" w:after="120" w:line="240" w:lineRule="auto"/>
              <w:ind w:left="0" w:firstLine="283"/>
              <w:contextualSpacing w:val="0"/>
              <w:jc w:val="both"/>
              <w:rPr>
                <w:rFonts w:ascii="Times New Roman" w:hAnsi="Times New Roman"/>
                <w:sz w:val="28"/>
                <w:szCs w:val="28"/>
                <w:lang w:val="uk-UA"/>
              </w:rPr>
            </w:pPr>
            <w:r w:rsidRPr="00C643B7">
              <w:rPr>
                <w:rFonts w:ascii="Times New Roman" w:hAnsi="Times New Roman"/>
                <w:sz w:val="28"/>
                <w:szCs w:val="28"/>
                <w:lang w:val="uk-UA"/>
              </w:rPr>
              <w:t>Обсяг операцій за період оцінки на ринку факторингу перевищував 3%</w:t>
            </w:r>
            <w:r w:rsidR="002208FC" w:rsidRPr="00C643B7">
              <w:rPr>
                <w:rFonts w:ascii="Times New Roman" w:hAnsi="Times New Roman"/>
                <w:sz w:val="28"/>
                <w:szCs w:val="28"/>
                <w:lang w:val="uk-UA"/>
              </w:rPr>
              <w:t xml:space="preserve"> від загальної кількості операцій на ринку </w:t>
            </w:r>
            <w:r w:rsidR="00822DB5" w:rsidRPr="00C643B7">
              <w:rPr>
                <w:rFonts w:ascii="Times New Roman" w:hAnsi="Times New Roman"/>
                <w:sz w:val="28"/>
                <w:szCs w:val="28"/>
                <w:lang w:val="uk-UA"/>
              </w:rPr>
              <w:t>факторингу</w:t>
            </w:r>
            <w:r w:rsidR="00C2490F" w:rsidRPr="00C643B7">
              <w:rPr>
                <w:rFonts w:ascii="Times New Roman" w:hAnsi="Times New Roman"/>
                <w:sz w:val="28"/>
                <w:szCs w:val="28"/>
                <w:lang w:val="uk-UA"/>
              </w:rPr>
              <w:t>, здійснених учасниками</w:t>
            </w:r>
            <w:r w:rsidR="00822DB5" w:rsidRPr="00C643B7">
              <w:rPr>
                <w:rFonts w:ascii="Times New Roman" w:hAnsi="Times New Roman"/>
                <w:sz w:val="28"/>
                <w:szCs w:val="28"/>
                <w:lang w:val="uk-UA"/>
              </w:rPr>
              <w:t xml:space="preserve"> </w:t>
            </w:r>
            <w:r w:rsidR="002208FC" w:rsidRPr="00C643B7">
              <w:rPr>
                <w:rFonts w:ascii="Times New Roman" w:hAnsi="Times New Roman"/>
                <w:sz w:val="28"/>
                <w:szCs w:val="28"/>
                <w:lang w:val="uk-UA"/>
              </w:rPr>
              <w:t>за відповідний період</w:t>
            </w:r>
            <w:r w:rsidRPr="00C643B7">
              <w:rPr>
                <w:rFonts w:ascii="Times New Roman" w:hAnsi="Times New Roman"/>
                <w:sz w:val="28"/>
                <w:szCs w:val="28"/>
                <w:lang w:val="uk-UA"/>
              </w:rPr>
              <w:t>;</w:t>
            </w:r>
          </w:p>
          <w:p w:rsidR="00E628B1" w:rsidRPr="00C643B7" w:rsidRDefault="00E628B1" w:rsidP="004646FD">
            <w:pPr>
              <w:pStyle w:val="a6"/>
              <w:numPr>
                <w:ilvl w:val="0"/>
                <w:numId w:val="7"/>
              </w:numPr>
              <w:spacing w:before="120" w:after="120" w:line="240" w:lineRule="auto"/>
              <w:ind w:left="0" w:firstLine="283"/>
              <w:contextualSpacing w:val="0"/>
              <w:jc w:val="both"/>
              <w:rPr>
                <w:rFonts w:ascii="Times New Roman" w:hAnsi="Times New Roman"/>
                <w:sz w:val="28"/>
                <w:szCs w:val="28"/>
                <w:lang w:val="uk-UA"/>
              </w:rPr>
            </w:pPr>
            <w:r w:rsidRPr="00C643B7">
              <w:rPr>
                <w:rFonts w:ascii="Times New Roman" w:hAnsi="Times New Roman"/>
                <w:sz w:val="28"/>
                <w:szCs w:val="28"/>
                <w:lang w:val="uk-UA"/>
              </w:rPr>
              <w:t>Обсяг наданих за період оцінки позик перевищував 1%</w:t>
            </w:r>
            <w:r w:rsidR="002208FC" w:rsidRPr="00C643B7">
              <w:rPr>
                <w:rFonts w:ascii="Times New Roman" w:hAnsi="Times New Roman"/>
                <w:sz w:val="28"/>
                <w:szCs w:val="28"/>
                <w:lang w:val="uk-UA"/>
              </w:rPr>
              <w:t xml:space="preserve"> від загально</w:t>
            </w:r>
            <w:r w:rsidR="00822DB5" w:rsidRPr="00C643B7">
              <w:rPr>
                <w:rFonts w:ascii="Times New Roman" w:hAnsi="Times New Roman"/>
                <w:sz w:val="28"/>
                <w:szCs w:val="28"/>
                <w:lang w:val="uk-UA"/>
              </w:rPr>
              <w:t>го обсягу позик, наданих</w:t>
            </w:r>
            <w:r w:rsidR="002208FC" w:rsidRPr="00C643B7">
              <w:rPr>
                <w:rFonts w:ascii="Times New Roman" w:hAnsi="Times New Roman"/>
                <w:sz w:val="28"/>
                <w:szCs w:val="28"/>
                <w:lang w:val="uk-UA"/>
              </w:rPr>
              <w:t xml:space="preserve"> </w:t>
            </w:r>
            <w:r w:rsidR="00C2490F" w:rsidRPr="00C643B7">
              <w:rPr>
                <w:rFonts w:ascii="Times New Roman" w:hAnsi="Times New Roman"/>
                <w:sz w:val="28"/>
                <w:szCs w:val="28"/>
                <w:lang w:val="uk-UA"/>
              </w:rPr>
              <w:t xml:space="preserve">учасниками </w:t>
            </w:r>
            <w:r w:rsidR="002208FC" w:rsidRPr="00C643B7">
              <w:rPr>
                <w:rFonts w:ascii="Times New Roman" w:hAnsi="Times New Roman"/>
                <w:sz w:val="28"/>
                <w:szCs w:val="28"/>
                <w:lang w:val="uk-UA"/>
              </w:rPr>
              <w:t>за відповідний період</w:t>
            </w:r>
            <w:r w:rsidR="00807110" w:rsidRPr="00C643B7">
              <w:rPr>
                <w:rFonts w:ascii="Times New Roman" w:hAnsi="Times New Roman"/>
                <w:sz w:val="28"/>
                <w:szCs w:val="28"/>
                <w:lang w:val="uk-UA"/>
              </w:rPr>
              <w:t>.</w:t>
            </w:r>
          </w:p>
        </w:tc>
        <w:tc>
          <w:tcPr>
            <w:tcW w:w="2082" w:type="dxa"/>
          </w:tcPr>
          <w:p w:rsidR="00E628B1" w:rsidRPr="00C643B7" w:rsidRDefault="00E628B1" w:rsidP="004646FD">
            <w:pPr>
              <w:spacing w:after="0" w:line="240" w:lineRule="auto"/>
              <w:jc w:val="center"/>
              <w:rPr>
                <w:rFonts w:ascii="Times New Roman" w:hAnsi="Times New Roman"/>
                <w:sz w:val="28"/>
                <w:szCs w:val="28"/>
              </w:rPr>
            </w:pPr>
            <w:r w:rsidRPr="00C643B7">
              <w:rPr>
                <w:rFonts w:ascii="Times New Roman" w:hAnsi="Times New Roman"/>
                <w:sz w:val="28"/>
                <w:szCs w:val="28"/>
              </w:rPr>
              <w:lastRenderedPageBreak/>
              <w:t>100</w:t>
            </w:r>
          </w:p>
        </w:tc>
        <w:tc>
          <w:tcPr>
            <w:tcW w:w="1540" w:type="dxa"/>
          </w:tcPr>
          <w:p w:rsidR="00E628B1" w:rsidRPr="00C643B7" w:rsidRDefault="00BE1699" w:rsidP="004646FD">
            <w:pPr>
              <w:spacing w:after="0" w:line="240" w:lineRule="auto"/>
              <w:jc w:val="center"/>
              <w:rPr>
                <w:rFonts w:ascii="Times New Roman" w:hAnsi="Times New Roman"/>
                <w:sz w:val="28"/>
                <w:szCs w:val="28"/>
              </w:rPr>
            </w:pPr>
            <w:r w:rsidRPr="00C643B7">
              <w:rPr>
                <w:rFonts w:ascii="Times New Roman" w:hAnsi="Times New Roman"/>
                <w:sz w:val="28"/>
                <w:szCs w:val="28"/>
              </w:rPr>
              <w:t>2</w:t>
            </w:r>
          </w:p>
        </w:tc>
      </w:tr>
    </w:tbl>
    <w:p w:rsidR="00B63673" w:rsidRPr="00C643B7" w:rsidRDefault="00147808" w:rsidP="004646FD">
      <w:pPr>
        <w:spacing w:line="240" w:lineRule="auto"/>
        <w:jc w:val="center"/>
        <w:rPr>
          <w:rFonts w:ascii="Times New Roman" w:hAnsi="Times New Roman"/>
          <w:bCs/>
          <w:color w:val="000000" w:themeColor="text1"/>
          <w:sz w:val="28"/>
          <w:szCs w:val="28"/>
          <w:shd w:val="clear" w:color="auto" w:fill="FFFFFF"/>
        </w:rPr>
      </w:pPr>
      <w:r w:rsidRPr="00C643B7">
        <w:rPr>
          <w:rFonts w:ascii="Times New Roman" w:hAnsi="Times New Roman"/>
          <w:sz w:val="28"/>
          <w:szCs w:val="28"/>
        </w:rPr>
        <w:br w:type="textWrapping" w:clear="all"/>
      </w:r>
      <w:r w:rsidR="00B63673" w:rsidRPr="00C643B7">
        <w:rPr>
          <w:rFonts w:ascii="Times New Roman" w:hAnsi="Times New Roman"/>
          <w:color w:val="333333"/>
          <w:sz w:val="30"/>
          <w:szCs w:val="30"/>
          <w:shd w:val="clear" w:color="auto" w:fill="FFFFFF"/>
        </w:rPr>
        <w:t>Пояснення</w:t>
      </w:r>
      <w:r w:rsidR="00B63673" w:rsidRPr="00C643B7">
        <w:rPr>
          <w:color w:val="333333"/>
          <w:sz w:val="30"/>
          <w:szCs w:val="30"/>
          <w:shd w:val="clear" w:color="auto" w:fill="FFFFFF"/>
        </w:rPr>
        <w:t xml:space="preserve"> </w:t>
      </w:r>
      <w:r w:rsidR="00B63673" w:rsidRPr="00C643B7">
        <w:rPr>
          <w:rFonts w:ascii="Times New Roman" w:hAnsi="Times New Roman"/>
          <w:color w:val="333333"/>
          <w:sz w:val="28"/>
          <w:szCs w:val="28"/>
          <w:shd w:val="clear" w:color="auto" w:fill="FFFFFF"/>
        </w:rPr>
        <w:t xml:space="preserve">до </w:t>
      </w:r>
      <w:r w:rsidR="00B63673" w:rsidRPr="00C643B7">
        <w:rPr>
          <w:rFonts w:ascii="Times New Roman" w:hAnsi="Times New Roman"/>
          <w:color w:val="000000" w:themeColor="text1"/>
          <w:sz w:val="28"/>
          <w:szCs w:val="28"/>
        </w:rPr>
        <w:t>критеріїв для визначення суспільної важливості фінансової компанії</w:t>
      </w:r>
      <w:r w:rsidR="00B63673" w:rsidRPr="00C643B7">
        <w:rPr>
          <w:rFonts w:ascii="Times New Roman" w:hAnsi="Times New Roman"/>
          <w:bCs/>
          <w:color w:val="000000" w:themeColor="text1"/>
          <w:sz w:val="28"/>
          <w:szCs w:val="28"/>
          <w:shd w:val="clear" w:color="auto" w:fill="FFFFFF"/>
        </w:rPr>
        <w:t>, юридичної особи, яка не є фінансовою установою, але має право надавати послуги з фінансового лізингу (лізингодавця), ломбарду</w:t>
      </w:r>
    </w:p>
    <w:p w:rsidR="008A7A00" w:rsidRPr="00C643B7" w:rsidRDefault="001F7CD6" w:rsidP="004646FD">
      <w:pPr>
        <w:pStyle w:val="a6"/>
        <w:numPr>
          <w:ilvl w:val="0"/>
          <w:numId w:val="14"/>
        </w:numPr>
        <w:spacing w:line="240" w:lineRule="auto"/>
        <w:ind w:left="0" w:firstLine="567"/>
        <w:rPr>
          <w:rFonts w:ascii="Times New Roman" w:eastAsia="Times New Roman" w:hAnsi="Times New Roman"/>
          <w:iCs/>
          <w:sz w:val="28"/>
          <w:szCs w:val="28"/>
          <w:shd w:val="clear" w:color="auto" w:fill="FFFFFF"/>
          <w:lang w:val="uk-UA" w:eastAsia="uk-UA"/>
        </w:rPr>
      </w:pPr>
      <w:r w:rsidRPr="00C643B7">
        <w:rPr>
          <w:rFonts w:ascii="Times New Roman" w:hAnsi="Times New Roman"/>
          <w:color w:val="000000" w:themeColor="text1"/>
          <w:sz w:val="28"/>
          <w:szCs w:val="28"/>
          <w:lang w:val="uk-UA"/>
        </w:rPr>
        <w:t>Для цілей цього додатку термін «Учасник» означає фінансова</w:t>
      </w:r>
      <w:r w:rsidR="00002359" w:rsidRPr="00C643B7">
        <w:rPr>
          <w:rFonts w:ascii="Times New Roman" w:hAnsi="Times New Roman"/>
          <w:color w:val="000000" w:themeColor="text1"/>
          <w:sz w:val="28"/>
          <w:szCs w:val="28"/>
          <w:lang w:val="uk-UA"/>
        </w:rPr>
        <w:t xml:space="preserve"> </w:t>
      </w:r>
      <w:r w:rsidRPr="00C643B7">
        <w:rPr>
          <w:rFonts w:ascii="Times New Roman" w:hAnsi="Times New Roman"/>
          <w:color w:val="000000" w:themeColor="text1"/>
          <w:sz w:val="28"/>
          <w:szCs w:val="28"/>
          <w:lang w:val="uk-UA"/>
        </w:rPr>
        <w:t>компанія</w:t>
      </w:r>
      <w:r w:rsidRPr="00C643B7">
        <w:rPr>
          <w:rFonts w:ascii="Times New Roman" w:hAnsi="Times New Roman"/>
          <w:bCs/>
          <w:color w:val="000000" w:themeColor="text1"/>
          <w:sz w:val="28"/>
          <w:szCs w:val="28"/>
          <w:shd w:val="clear" w:color="auto" w:fill="FFFFFF"/>
          <w:lang w:val="uk-UA"/>
        </w:rPr>
        <w:t>, юридична особа, яка не є фінансовою установою, але має право надавати послуги з фінансового лізингу (лізингодавець), ломбард.</w:t>
      </w:r>
    </w:p>
    <w:p w:rsidR="00B63673" w:rsidRPr="00C643B7" w:rsidRDefault="001F7CD6" w:rsidP="004646FD">
      <w:pPr>
        <w:pStyle w:val="a6"/>
        <w:numPr>
          <w:ilvl w:val="0"/>
          <w:numId w:val="14"/>
        </w:numPr>
        <w:spacing w:line="240" w:lineRule="auto"/>
        <w:ind w:left="0" w:firstLine="567"/>
        <w:jc w:val="both"/>
        <w:rPr>
          <w:rFonts w:ascii="Times New Roman" w:eastAsia="Times New Roman" w:hAnsi="Times New Roman"/>
          <w:iCs/>
          <w:sz w:val="28"/>
          <w:szCs w:val="28"/>
          <w:shd w:val="clear" w:color="auto" w:fill="FFFFFF"/>
          <w:lang w:val="uk-UA" w:eastAsia="uk-UA"/>
        </w:rPr>
      </w:pPr>
      <w:r w:rsidRPr="00C643B7">
        <w:rPr>
          <w:rFonts w:ascii="Times New Roman" w:hAnsi="Times New Roman"/>
          <w:sz w:val="28"/>
          <w:szCs w:val="28"/>
          <w:lang w:val="uk-UA"/>
        </w:rPr>
        <w:t xml:space="preserve">Іншим учасникам </w:t>
      </w:r>
      <w:r w:rsidRPr="00C643B7">
        <w:rPr>
          <w:rFonts w:ascii="Times New Roman" w:eastAsia="Times New Roman" w:hAnsi="Times New Roman"/>
          <w:iCs/>
          <w:sz w:val="28"/>
          <w:szCs w:val="28"/>
          <w:shd w:val="clear" w:color="auto" w:fill="FFFFFF"/>
          <w:lang w:val="uk-UA" w:eastAsia="uk-UA"/>
        </w:rPr>
        <w:t xml:space="preserve">група суспільної важливості </w:t>
      </w:r>
      <w:r w:rsidRPr="00C643B7">
        <w:rPr>
          <w:rFonts w:ascii="Times New Roman" w:hAnsi="Times New Roman"/>
          <w:sz w:val="28"/>
          <w:szCs w:val="28"/>
          <w:lang w:val="uk-UA"/>
        </w:rPr>
        <w:t xml:space="preserve">не </w:t>
      </w:r>
      <w:r w:rsidRPr="00C643B7">
        <w:rPr>
          <w:rFonts w:ascii="Times New Roman" w:eastAsia="Times New Roman" w:hAnsi="Times New Roman"/>
          <w:iCs/>
          <w:sz w:val="28"/>
          <w:szCs w:val="28"/>
          <w:shd w:val="clear" w:color="auto" w:fill="FFFFFF"/>
          <w:lang w:val="uk-UA" w:eastAsia="uk-UA"/>
        </w:rPr>
        <w:t>присвоюється.</w:t>
      </w:r>
    </w:p>
    <w:p w:rsidR="0051714D" w:rsidRPr="00C643B7" w:rsidRDefault="0051714D" w:rsidP="004646FD">
      <w:pPr>
        <w:spacing w:line="240" w:lineRule="auto"/>
        <w:jc w:val="both"/>
        <w:rPr>
          <w:rFonts w:ascii="Times New Roman" w:eastAsia="Times New Roman" w:hAnsi="Times New Roman"/>
          <w:iCs/>
          <w:sz w:val="28"/>
          <w:szCs w:val="28"/>
          <w:shd w:val="clear" w:color="auto" w:fill="FFFFFF"/>
          <w:lang w:eastAsia="uk-UA"/>
        </w:rPr>
      </w:pPr>
    </w:p>
    <w:p w:rsidR="0051714D" w:rsidRPr="00C643B7" w:rsidRDefault="0051714D" w:rsidP="004646FD">
      <w:pPr>
        <w:spacing w:line="240" w:lineRule="auto"/>
        <w:jc w:val="both"/>
        <w:rPr>
          <w:rFonts w:ascii="Times New Roman" w:hAnsi="Times New Roman"/>
          <w:sz w:val="28"/>
          <w:szCs w:val="28"/>
        </w:rPr>
        <w:sectPr w:rsidR="0051714D" w:rsidRPr="00C643B7" w:rsidSect="00A644A9">
          <w:headerReference w:type="default" r:id="rId17"/>
          <w:pgSz w:w="11906" w:h="16838"/>
          <w:pgMar w:top="1134" w:right="851" w:bottom="1134" w:left="1701" w:header="709" w:footer="709" w:gutter="0"/>
          <w:pgNumType w:start="1"/>
          <w:cols w:space="708"/>
          <w:titlePg/>
          <w:docGrid w:linePitch="360"/>
        </w:sectPr>
      </w:pPr>
    </w:p>
    <w:p w:rsidR="0051714D" w:rsidRPr="00C643B7" w:rsidRDefault="0051714D" w:rsidP="004646FD">
      <w:pPr>
        <w:pStyle w:val="a6"/>
        <w:tabs>
          <w:tab w:val="left" w:pos="4820"/>
        </w:tabs>
        <w:spacing w:after="0" w:line="240" w:lineRule="auto"/>
        <w:ind w:left="4961"/>
        <w:jc w:val="both"/>
        <w:rPr>
          <w:rFonts w:ascii="Times New Roman" w:hAnsi="Times New Roman"/>
          <w:sz w:val="28"/>
          <w:szCs w:val="28"/>
          <w:lang w:val="uk-UA"/>
        </w:rPr>
      </w:pPr>
      <w:r w:rsidRPr="00C643B7">
        <w:rPr>
          <w:rFonts w:ascii="Times New Roman" w:hAnsi="Times New Roman"/>
          <w:sz w:val="28"/>
          <w:szCs w:val="28"/>
          <w:lang w:val="uk-UA"/>
        </w:rPr>
        <w:lastRenderedPageBreak/>
        <w:t xml:space="preserve">Додаток </w:t>
      </w:r>
      <w:r w:rsidR="00F43659" w:rsidRPr="00C643B7">
        <w:rPr>
          <w:rFonts w:ascii="Times New Roman" w:hAnsi="Times New Roman"/>
          <w:sz w:val="28"/>
          <w:szCs w:val="28"/>
          <w:lang w:val="uk-UA"/>
        </w:rPr>
        <w:t>7</w:t>
      </w:r>
    </w:p>
    <w:p w:rsidR="00AE2B7E" w:rsidRPr="00C643B7" w:rsidRDefault="00AE2B7E" w:rsidP="004646FD">
      <w:pPr>
        <w:keepNext/>
        <w:spacing w:after="0" w:line="240" w:lineRule="auto"/>
        <w:ind w:left="4961"/>
        <w:jc w:val="both"/>
        <w:outlineLvl w:val="2"/>
        <w:rPr>
          <w:rFonts w:ascii="Times New Roman" w:eastAsia="Times New Roman" w:hAnsi="Times New Roman"/>
          <w:b/>
          <w:bCs/>
          <w:color w:val="000000"/>
          <w:sz w:val="28"/>
          <w:szCs w:val="28"/>
          <w:lang w:eastAsia="uk-UA"/>
        </w:rPr>
      </w:pPr>
      <w:r w:rsidRPr="00C643B7">
        <w:rPr>
          <w:rFonts w:ascii="Times New Roman" w:hAnsi="Times New Roman"/>
          <w:sz w:val="28"/>
          <w:szCs w:val="28"/>
        </w:rPr>
        <w:t xml:space="preserve">до </w:t>
      </w:r>
      <w:r w:rsidRPr="00C643B7">
        <w:rPr>
          <w:rFonts w:ascii="Times New Roman" w:eastAsia="Times New Roman" w:hAnsi="Times New Roman"/>
          <w:bCs/>
          <w:color w:val="000000"/>
          <w:sz w:val="28"/>
          <w:szCs w:val="28"/>
          <w:lang w:eastAsia="uk-UA"/>
        </w:rPr>
        <w:t>Положення про встановлення критеріїв,</w:t>
      </w:r>
      <w:r w:rsidR="004A7C7C" w:rsidRPr="00C643B7">
        <w:rPr>
          <w:rFonts w:ascii="Times New Roman" w:eastAsia="Times New Roman" w:hAnsi="Times New Roman"/>
          <w:bCs/>
          <w:color w:val="000000"/>
          <w:sz w:val="28"/>
          <w:szCs w:val="28"/>
          <w:lang w:eastAsia="uk-UA"/>
        </w:rPr>
        <w:t xml:space="preserve"> </w:t>
      </w:r>
      <w:r w:rsidRPr="00C643B7">
        <w:rPr>
          <w:rFonts w:ascii="Times New Roman" w:eastAsia="Times New Roman" w:hAnsi="Times New Roman"/>
          <w:bCs/>
          <w:color w:val="000000"/>
          <w:sz w:val="28"/>
          <w:szCs w:val="28"/>
          <w:lang w:eastAsia="uk-UA"/>
        </w:rPr>
        <w:t>за якими оцінюється ступінь ризику від здійснення діяльності учасниками ринку небанківських фінансових послуг</w:t>
      </w:r>
      <w:r w:rsidR="004A7C7C" w:rsidRPr="00C643B7">
        <w:rPr>
          <w:rFonts w:ascii="Times New Roman" w:eastAsia="Times New Roman" w:hAnsi="Times New Roman"/>
          <w:bCs/>
          <w:color w:val="000000"/>
          <w:sz w:val="28"/>
          <w:szCs w:val="28"/>
          <w:lang w:eastAsia="uk-UA"/>
        </w:rPr>
        <w:t>,</w:t>
      </w:r>
      <w:r w:rsidRPr="00C643B7">
        <w:rPr>
          <w:rFonts w:ascii="Times New Roman" w:eastAsia="Times New Roman" w:hAnsi="Times New Roman"/>
          <w:bCs/>
          <w:color w:val="000000"/>
          <w:sz w:val="28"/>
          <w:szCs w:val="28"/>
          <w:lang w:eastAsia="uk-UA"/>
        </w:rPr>
        <w:t xml:space="preserve"> їх суспільну важливість, на підставі яких визначається періодичність проведення планових інспекційних перевірок, та поряд</w:t>
      </w:r>
      <w:r w:rsidR="004A7C7C" w:rsidRPr="00C643B7">
        <w:rPr>
          <w:rFonts w:ascii="Times New Roman" w:eastAsia="Times New Roman" w:hAnsi="Times New Roman"/>
          <w:bCs/>
          <w:color w:val="000000"/>
          <w:sz w:val="28"/>
          <w:szCs w:val="28"/>
          <w:lang w:eastAsia="uk-UA"/>
        </w:rPr>
        <w:t>о</w:t>
      </w:r>
      <w:r w:rsidRPr="00C643B7">
        <w:rPr>
          <w:rFonts w:ascii="Times New Roman" w:eastAsia="Times New Roman" w:hAnsi="Times New Roman"/>
          <w:bCs/>
          <w:color w:val="000000"/>
          <w:sz w:val="28"/>
          <w:szCs w:val="28"/>
          <w:lang w:eastAsia="uk-UA"/>
        </w:rPr>
        <w:t>к їх застосування</w:t>
      </w:r>
    </w:p>
    <w:p w:rsidR="0051714D" w:rsidRPr="00C643B7" w:rsidRDefault="0051714D" w:rsidP="004646FD">
      <w:pPr>
        <w:tabs>
          <w:tab w:val="left" w:pos="4820"/>
        </w:tabs>
        <w:spacing w:line="240" w:lineRule="auto"/>
        <w:ind w:left="4962"/>
        <w:jc w:val="both"/>
        <w:rPr>
          <w:rFonts w:ascii="Times New Roman" w:hAnsi="Times New Roman"/>
          <w:sz w:val="28"/>
          <w:szCs w:val="28"/>
        </w:rPr>
      </w:pPr>
      <w:r w:rsidRPr="00C643B7">
        <w:rPr>
          <w:rFonts w:ascii="Times New Roman" w:hAnsi="Times New Roman"/>
          <w:sz w:val="28"/>
          <w:szCs w:val="28"/>
        </w:rPr>
        <w:t xml:space="preserve">(пункт 20 розділу </w:t>
      </w:r>
      <w:r w:rsidR="00AE2B7E" w:rsidRPr="00C643B7">
        <w:rPr>
          <w:rFonts w:ascii="Times New Roman" w:hAnsi="Times New Roman"/>
          <w:sz w:val="28"/>
          <w:szCs w:val="28"/>
        </w:rPr>
        <w:t>І</w:t>
      </w:r>
      <w:r w:rsidRPr="00C643B7">
        <w:rPr>
          <w:rFonts w:ascii="Times New Roman" w:hAnsi="Times New Roman"/>
          <w:sz w:val="28"/>
          <w:szCs w:val="28"/>
        </w:rPr>
        <w:t>II)</w:t>
      </w:r>
    </w:p>
    <w:p w:rsidR="0051714D" w:rsidRPr="00C643B7" w:rsidRDefault="0051714D" w:rsidP="004646FD">
      <w:pPr>
        <w:spacing w:after="0" w:line="240" w:lineRule="auto"/>
        <w:jc w:val="center"/>
        <w:rPr>
          <w:rFonts w:ascii="Times New Roman" w:eastAsia="Times New Roman" w:hAnsi="Times New Roman"/>
          <w:sz w:val="28"/>
          <w:szCs w:val="28"/>
          <w:lang w:eastAsia="uk-UA"/>
        </w:rPr>
      </w:pPr>
    </w:p>
    <w:p w:rsidR="00CC69E6" w:rsidRPr="00C643B7" w:rsidRDefault="0051714D"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 xml:space="preserve">Матриця визначення періодичності проведення </w:t>
      </w:r>
    </w:p>
    <w:p w:rsidR="0051714D" w:rsidRPr="00C643B7" w:rsidRDefault="0051714D"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 xml:space="preserve">планових інспекційних перевірок </w:t>
      </w:r>
    </w:p>
    <w:p w:rsidR="006D1B62" w:rsidRPr="00C643B7" w:rsidRDefault="006D1B62" w:rsidP="004646FD">
      <w:pPr>
        <w:spacing w:after="0" w:line="240" w:lineRule="auto"/>
        <w:jc w:val="center"/>
        <w:rPr>
          <w:rFonts w:ascii="Times New Roman" w:eastAsia="Times New Roman" w:hAnsi="Times New Roman"/>
          <w:sz w:val="28"/>
          <w:szCs w:val="28"/>
          <w:lang w:eastAsia="uk-UA"/>
        </w:rPr>
      </w:pPr>
    </w:p>
    <w:tbl>
      <w:tblPr>
        <w:tblW w:w="9923" w:type="dxa"/>
        <w:tblInd w:w="-10" w:type="dxa"/>
        <w:tblLayout w:type="fixed"/>
        <w:tblCellMar>
          <w:left w:w="0" w:type="dxa"/>
          <w:right w:w="0" w:type="dxa"/>
        </w:tblCellMar>
        <w:tblLook w:val="04A0" w:firstRow="1" w:lastRow="0" w:firstColumn="1" w:lastColumn="0" w:noHBand="0" w:noVBand="1"/>
      </w:tblPr>
      <w:tblGrid>
        <w:gridCol w:w="425"/>
        <w:gridCol w:w="284"/>
        <w:gridCol w:w="2693"/>
        <w:gridCol w:w="2694"/>
        <w:gridCol w:w="3402"/>
        <w:gridCol w:w="425"/>
      </w:tblGrid>
      <w:tr w:rsidR="00FA3A39" w:rsidRPr="00C643B7" w:rsidTr="00FA3A39">
        <w:trPr>
          <w:trHeight w:val="1068"/>
        </w:trPr>
        <w:tc>
          <w:tcPr>
            <w:tcW w:w="709" w:type="dxa"/>
            <w:gridSpan w:val="2"/>
            <w:tcBorders>
              <w:top w:val="single" w:sz="8" w:space="0" w:color="auto"/>
              <w:left w:val="single" w:sz="8" w:space="0" w:color="auto"/>
              <w:bottom w:val="nil"/>
              <w:right w:val="single" w:sz="8" w:space="0" w:color="auto"/>
            </w:tcBorders>
          </w:tcPr>
          <w:p w:rsidR="00FA3A39" w:rsidRPr="00C643B7" w:rsidRDefault="00B90CA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w:t>
            </w:r>
          </w:p>
          <w:p w:rsidR="00B90CA9" w:rsidRPr="00C643B7" w:rsidRDefault="00B90CA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з/п</w:t>
            </w:r>
          </w:p>
        </w:tc>
        <w:tc>
          <w:tcPr>
            <w:tcW w:w="2693"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Група суспільної важливості</w:t>
            </w:r>
            <w:r w:rsidRPr="00C643B7">
              <w:rPr>
                <w:rFonts w:ascii="Times New Roman" w:eastAsia="Times New Roman" w:hAnsi="Times New Roman"/>
                <w:sz w:val="28"/>
                <w:szCs w:val="28"/>
                <w:lang w:eastAsia="uk-UA"/>
              </w:rPr>
              <w:br/>
            </w:r>
          </w:p>
        </w:tc>
        <w:tc>
          <w:tcPr>
            <w:tcW w:w="26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 xml:space="preserve">Ступінь ризику </w:t>
            </w:r>
          </w:p>
        </w:tc>
        <w:tc>
          <w:tcPr>
            <w:tcW w:w="340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Періодичність проведення планових інспекційних перевірок</w:t>
            </w:r>
          </w:p>
          <w:p w:rsidR="00FA3A39" w:rsidRPr="00C643B7" w:rsidRDefault="00FA3A39" w:rsidP="004646FD">
            <w:pPr>
              <w:spacing w:after="0" w:line="240" w:lineRule="auto"/>
              <w:jc w:val="center"/>
              <w:rPr>
                <w:rFonts w:ascii="Times New Roman" w:eastAsia="Times New Roman" w:hAnsi="Times New Roman"/>
                <w:i/>
                <w:sz w:val="28"/>
                <w:szCs w:val="28"/>
                <w:lang w:eastAsia="uk-UA"/>
              </w:rPr>
            </w:pP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7"/>
        </w:trPr>
        <w:tc>
          <w:tcPr>
            <w:tcW w:w="709" w:type="dxa"/>
            <w:gridSpan w:val="2"/>
            <w:tcBorders>
              <w:top w:val="single" w:sz="8" w:space="0" w:color="auto"/>
              <w:left w:val="single" w:sz="8" w:space="0" w:color="auto"/>
              <w:bottom w:val="single" w:sz="4" w:space="0" w:color="auto"/>
              <w:right w:val="single" w:sz="8" w:space="0" w:color="auto"/>
            </w:tcBorders>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p>
        </w:tc>
        <w:tc>
          <w:tcPr>
            <w:tcW w:w="26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w:t>
            </w:r>
          </w:p>
        </w:tc>
        <w:tc>
          <w:tcPr>
            <w:tcW w:w="269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4</w:t>
            </w:r>
          </w:p>
        </w:tc>
        <w:tc>
          <w:tcPr>
            <w:tcW w:w="425" w:type="dxa"/>
            <w:noWrap/>
            <w:tcMar>
              <w:top w:w="0" w:type="dxa"/>
              <w:left w:w="108" w:type="dxa"/>
              <w:bottom w:w="0" w:type="dxa"/>
              <w:right w:w="108" w:type="dxa"/>
            </w:tcMar>
            <w:vAlign w:val="bottom"/>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0"/>
        </w:trPr>
        <w:tc>
          <w:tcPr>
            <w:tcW w:w="709" w:type="dxa"/>
            <w:gridSpan w:val="2"/>
            <w:tcBorders>
              <w:top w:val="single" w:sz="4" w:space="0" w:color="auto"/>
              <w:left w:val="single" w:sz="8" w:space="0" w:color="auto"/>
              <w:bottom w:val="single" w:sz="8" w:space="0" w:color="auto"/>
              <w:right w:val="single" w:sz="8" w:space="0" w:color="auto"/>
            </w:tcBorders>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p>
        </w:tc>
        <w:tc>
          <w:tcPr>
            <w:tcW w:w="269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1, 2</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3 роки</w:t>
            </w: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2 роки</w:t>
            </w: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4</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1 рік</w:t>
            </w: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4</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4 роки</w:t>
            </w: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A24F0E"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A24F0E"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5</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4F0E"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4F0E"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2, 3</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4F0E"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3 роки</w:t>
            </w:r>
          </w:p>
        </w:tc>
        <w:tc>
          <w:tcPr>
            <w:tcW w:w="425" w:type="dxa"/>
            <w:noWrap/>
            <w:tcMar>
              <w:top w:w="0" w:type="dxa"/>
              <w:left w:w="108" w:type="dxa"/>
              <w:bottom w:w="0" w:type="dxa"/>
              <w:right w:w="108" w:type="dxa"/>
            </w:tcMar>
            <w:vAlign w:val="bottom"/>
            <w:hideMark/>
          </w:tcPr>
          <w:p w:rsidR="00A24F0E" w:rsidRPr="00C643B7" w:rsidRDefault="00A24F0E"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FA3A39"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6</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4</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2 роки</w:t>
            </w: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FA3A39"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7</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5 років</w:t>
            </w: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FA3A39"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FA3A39"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8</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2</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A39" w:rsidRPr="00C643B7" w:rsidRDefault="00FA3A39"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4 роки</w:t>
            </w:r>
          </w:p>
        </w:tc>
        <w:tc>
          <w:tcPr>
            <w:tcW w:w="425" w:type="dxa"/>
            <w:noWrap/>
            <w:tcMar>
              <w:top w:w="0" w:type="dxa"/>
              <w:left w:w="108" w:type="dxa"/>
              <w:bottom w:w="0" w:type="dxa"/>
              <w:right w:w="108" w:type="dxa"/>
            </w:tcMar>
            <w:vAlign w:val="bottom"/>
            <w:hideMark/>
          </w:tcPr>
          <w:p w:rsidR="00FA3A39" w:rsidRPr="00C643B7" w:rsidRDefault="00FA3A39" w:rsidP="004646FD">
            <w:pPr>
              <w:spacing w:after="0" w:line="240" w:lineRule="auto"/>
              <w:jc w:val="both"/>
              <w:rPr>
                <w:rFonts w:ascii="Times New Roman" w:eastAsia="Times New Roman" w:hAnsi="Times New Roman"/>
                <w:sz w:val="28"/>
                <w:szCs w:val="28"/>
                <w:lang w:eastAsia="uk-UA"/>
              </w:rPr>
            </w:pPr>
          </w:p>
        </w:tc>
      </w:tr>
      <w:tr w:rsidR="00DE3B10" w:rsidRPr="00C643B7" w:rsidTr="0045531E">
        <w:trPr>
          <w:trHeight w:val="360"/>
        </w:trPr>
        <w:tc>
          <w:tcPr>
            <w:tcW w:w="709" w:type="dxa"/>
            <w:gridSpan w:val="2"/>
            <w:tcBorders>
              <w:top w:val="nil"/>
              <w:left w:val="single" w:sz="8" w:space="0" w:color="auto"/>
              <w:bottom w:val="single" w:sz="8" w:space="0" w:color="auto"/>
              <w:right w:val="single" w:sz="8" w:space="0" w:color="auto"/>
            </w:tcBorders>
            <w:vAlign w:val="center"/>
          </w:tcPr>
          <w:p w:rsidR="00DE3B10"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9</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3, 4</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3 роки</w:t>
            </w:r>
          </w:p>
        </w:tc>
        <w:tc>
          <w:tcPr>
            <w:tcW w:w="425" w:type="dxa"/>
            <w:noWrap/>
            <w:tcMar>
              <w:top w:w="0" w:type="dxa"/>
              <w:left w:w="108" w:type="dxa"/>
              <w:bottom w:w="0" w:type="dxa"/>
              <w:right w:w="108" w:type="dxa"/>
            </w:tcMar>
            <w:vAlign w:val="bottom"/>
          </w:tcPr>
          <w:p w:rsidR="00DE3B10" w:rsidRPr="00C643B7" w:rsidRDefault="00DE3B10" w:rsidP="004646FD">
            <w:pPr>
              <w:spacing w:after="0" w:line="240" w:lineRule="auto"/>
              <w:jc w:val="both"/>
              <w:rPr>
                <w:rFonts w:ascii="Times New Roman" w:eastAsia="Times New Roman" w:hAnsi="Times New Roman"/>
                <w:sz w:val="28"/>
                <w:szCs w:val="28"/>
                <w:lang w:eastAsia="uk-UA"/>
              </w:rPr>
            </w:pPr>
          </w:p>
        </w:tc>
      </w:tr>
      <w:tr w:rsidR="00DE3B10" w:rsidRPr="00C643B7" w:rsidTr="00FA3A39">
        <w:trPr>
          <w:trHeight w:val="360"/>
        </w:trPr>
        <w:tc>
          <w:tcPr>
            <w:tcW w:w="709" w:type="dxa"/>
            <w:gridSpan w:val="2"/>
            <w:tcBorders>
              <w:top w:val="nil"/>
              <w:left w:val="single" w:sz="8" w:space="0" w:color="auto"/>
              <w:bottom w:val="single" w:sz="8" w:space="0" w:color="auto"/>
              <w:right w:val="single" w:sz="8" w:space="0" w:color="auto"/>
            </w:tcBorders>
          </w:tcPr>
          <w:p w:rsidR="00DE3B10" w:rsidRPr="00C643B7" w:rsidRDefault="00A24F0E"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10</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4</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1, 2</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5 років</w:t>
            </w:r>
          </w:p>
        </w:tc>
        <w:tc>
          <w:tcPr>
            <w:tcW w:w="425" w:type="dxa"/>
            <w:noWrap/>
            <w:tcMar>
              <w:top w:w="0" w:type="dxa"/>
              <w:left w:w="108" w:type="dxa"/>
              <w:bottom w:w="0" w:type="dxa"/>
              <w:right w:w="108" w:type="dxa"/>
            </w:tcMar>
            <w:vAlign w:val="bottom"/>
          </w:tcPr>
          <w:p w:rsidR="00DE3B10" w:rsidRPr="00C643B7" w:rsidRDefault="00DE3B10" w:rsidP="004646FD">
            <w:pPr>
              <w:spacing w:after="0" w:line="240" w:lineRule="auto"/>
              <w:jc w:val="both"/>
              <w:rPr>
                <w:rFonts w:ascii="Times New Roman" w:eastAsia="Times New Roman" w:hAnsi="Times New Roman"/>
                <w:sz w:val="28"/>
                <w:szCs w:val="28"/>
                <w:lang w:eastAsia="uk-UA"/>
              </w:rPr>
            </w:pPr>
          </w:p>
        </w:tc>
      </w:tr>
      <w:tr w:rsidR="00DE3B10" w:rsidRPr="00AA7BFE" w:rsidTr="00FA3A39">
        <w:trPr>
          <w:trHeight w:val="360"/>
        </w:trPr>
        <w:tc>
          <w:tcPr>
            <w:tcW w:w="709" w:type="dxa"/>
            <w:gridSpan w:val="2"/>
            <w:tcBorders>
              <w:top w:val="nil"/>
              <w:left w:val="single" w:sz="8" w:space="0" w:color="auto"/>
              <w:bottom w:val="single" w:sz="8" w:space="0" w:color="auto"/>
              <w:right w:val="single" w:sz="8" w:space="0" w:color="auto"/>
            </w:tcBorders>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w:t>
            </w:r>
            <w:r w:rsidR="00A24F0E" w:rsidRPr="00C643B7">
              <w:rPr>
                <w:rFonts w:ascii="Times New Roman" w:eastAsia="Times New Roman" w:hAnsi="Times New Roman"/>
                <w:sz w:val="28"/>
                <w:szCs w:val="28"/>
                <w:lang w:eastAsia="uk-UA"/>
              </w:rPr>
              <w:t>1</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4</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rsidR="00DE3B10" w:rsidRPr="00C643B7"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3, 4</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DE3B10" w:rsidRPr="00AA7BFE" w:rsidRDefault="00DE3B10" w:rsidP="004646FD">
            <w:pPr>
              <w:spacing w:after="0" w:line="240" w:lineRule="auto"/>
              <w:jc w:val="center"/>
              <w:rPr>
                <w:rFonts w:ascii="Times New Roman" w:eastAsia="Times New Roman" w:hAnsi="Times New Roman"/>
                <w:sz w:val="28"/>
                <w:szCs w:val="28"/>
                <w:lang w:eastAsia="uk-UA"/>
              </w:rPr>
            </w:pPr>
            <w:r w:rsidRPr="00C643B7">
              <w:rPr>
                <w:rFonts w:ascii="Times New Roman" w:eastAsia="Times New Roman" w:hAnsi="Times New Roman"/>
                <w:sz w:val="28"/>
                <w:szCs w:val="28"/>
                <w:lang w:eastAsia="uk-UA"/>
              </w:rPr>
              <w:t>1 раз на 4 роки</w:t>
            </w:r>
          </w:p>
        </w:tc>
        <w:tc>
          <w:tcPr>
            <w:tcW w:w="425" w:type="dxa"/>
            <w:noWrap/>
            <w:tcMar>
              <w:top w:w="0" w:type="dxa"/>
              <w:left w:w="108" w:type="dxa"/>
              <w:bottom w:w="0" w:type="dxa"/>
              <w:right w:w="108" w:type="dxa"/>
            </w:tcMar>
            <w:vAlign w:val="bottom"/>
          </w:tcPr>
          <w:p w:rsidR="00DE3B10" w:rsidRPr="00AA7BFE" w:rsidRDefault="00DE3B10" w:rsidP="004646FD">
            <w:pPr>
              <w:spacing w:after="0" w:line="240" w:lineRule="auto"/>
              <w:jc w:val="both"/>
              <w:rPr>
                <w:rFonts w:ascii="Times New Roman" w:eastAsia="Times New Roman" w:hAnsi="Times New Roman"/>
                <w:sz w:val="28"/>
                <w:szCs w:val="28"/>
                <w:lang w:eastAsia="uk-UA"/>
              </w:rPr>
            </w:pPr>
          </w:p>
        </w:tc>
      </w:tr>
      <w:tr w:rsidR="00DE3B10" w:rsidRPr="00AA7BFE" w:rsidTr="00DE3B10">
        <w:trPr>
          <w:gridAfter w:val="5"/>
          <w:wAfter w:w="9498" w:type="dxa"/>
          <w:trHeight w:val="282"/>
        </w:trPr>
        <w:tc>
          <w:tcPr>
            <w:tcW w:w="425" w:type="dxa"/>
            <w:noWrap/>
            <w:tcMar>
              <w:top w:w="0" w:type="dxa"/>
              <w:left w:w="108" w:type="dxa"/>
              <w:bottom w:w="0" w:type="dxa"/>
              <w:right w:w="108" w:type="dxa"/>
            </w:tcMar>
            <w:vAlign w:val="bottom"/>
            <w:hideMark/>
          </w:tcPr>
          <w:p w:rsidR="00DE3B10" w:rsidRPr="00AA7BFE" w:rsidRDefault="00DE3B10" w:rsidP="004646FD">
            <w:pPr>
              <w:spacing w:after="0" w:line="240" w:lineRule="auto"/>
              <w:jc w:val="both"/>
              <w:rPr>
                <w:rFonts w:ascii="Times New Roman" w:eastAsia="Times New Roman" w:hAnsi="Times New Roman"/>
                <w:sz w:val="28"/>
                <w:szCs w:val="28"/>
                <w:lang w:eastAsia="uk-UA"/>
              </w:rPr>
            </w:pPr>
          </w:p>
          <w:p w:rsidR="00DE3B10" w:rsidRPr="00AA7BFE" w:rsidRDefault="00DE3B10" w:rsidP="004646FD">
            <w:pPr>
              <w:spacing w:after="0" w:line="240" w:lineRule="auto"/>
              <w:jc w:val="both"/>
              <w:rPr>
                <w:rFonts w:ascii="Times New Roman" w:eastAsia="Times New Roman" w:hAnsi="Times New Roman"/>
                <w:sz w:val="28"/>
                <w:szCs w:val="28"/>
                <w:lang w:eastAsia="uk-UA"/>
              </w:rPr>
            </w:pPr>
          </w:p>
        </w:tc>
      </w:tr>
      <w:tr w:rsidR="00DE3B10" w:rsidRPr="00AA7BFE" w:rsidTr="00FA3A39">
        <w:trPr>
          <w:gridAfter w:val="5"/>
          <w:wAfter w:w="9498" w:type="dxa"/>
          <w:trHeight w:val="360"/>
        </w:trPr>
        <w:tc>
          <w:tcPr>
            <w:tcW w:w="425" w:type="dxa"/>
            <w:noWrap/>
            <w:tcMar>
              <w:top w:w="0" w:type="dxa"/>
              <w:left w:w="108" w:type="dxa"/>
              <w:bottom w:w="0" w:type="dxa"/>
              <w:right w:w="108" w:type="dxa"/>
            </w:tcMar>
            <w:vAlign w:val="bottom"/>
          </w:tcPr>
          <w:p w:rsidR="00DE3B10" w:rsidRPr="00AA7BFE" w:rsidRDefault="00DE3B10" w:rsidP="004646FD">
            <w:pPr>
              <w:spacing w:after="0" w:line="240" w:lineRule="auto"/>
              <w:jc w:val="both"/>
              <w:rPr>
                <w:rFonts w:ascii="Times New Roman" w:eastAsia="Times New Roman" w:hAnsi="Times New Roman"/>
                <w:sz w:val="28"/>
                <w:szCs w:val="28"/>
                <w:lang w:eastAsia="uk-UA"/>
              </w:rPr>
            </w:pPr>
          </w:p>
        </w:tc>
      </w:tr>
      <w:tr w:rsidR="00DE3B10" w:rsidRPr="00AA7BFE" w:rsidTr="00FA3A39">
        <w:trPr>
          <w:gridAfter w:val="5"/>
          <w:wAfter w:w="9498" w:type="dxa"/>
          <w:trHeight w:val="60"/>
        </w:trPr>
        <w:tc>
          <w:tcPr>
            <w:tcW w:w="425" w:type="dxa"/>
            <w:noWrap/>
            <w:tcMar>
              <w:top w:w="0" w:type="dxa"/>
              <w:left w:w="108" w:type="dxa"/>
              <w:bottom w:w="0" w:type="dxa"/>
              <w:right w:w="108" w:type="dxa"/>
            </w:tcMar>
            <w:vAlign w:val="bottom"/>
          </w:tcPr>
          <w:p w:rsidR="00DE3B10" w:rsidRPr="00AA7BFE" w:rsidRDefault="00DE3B10" w:rsidP="004646FD">
            <w:pPr>
              <w:spacing w:after="0" w:line="240" w:lineRule="auto"/>
              <w:jc w:val="both"/>
              <w:rPr>
                <w:rFonts w:ascii="Times New Roman" w:eastAsia="Times New Roman" w:hAnsi="Times New Roman"/>
                <w:sz w:val="28"/>
                <w:szCs w:val="28"/>
                <w:lang w:eastAsia="uk-UA"/>
              </w:rPr>
            </w:pPr>
          </w:p>
        </w:tc>
      </w:tr>
    </w:tbl>
    <w:p w:rsidR="0051714D" w:rsidRPr="00AA7BFE" w:rsidRDefault="0051714D" w:rsidP="004646FD">
      <w:pPr>
        <w:spacing w:after="0" w:line="240" w:lineRule="auto"/>
        <w:ind w:firstLine="709"/>
        <w:jc w:val="both"/>
        <w:rPr>
          <w:rFonts w:ascii="Times New Roman" w:eastAsia="Times New Roman" w:hAnsi="Times New Roman"/>
          <w:sz w:val="28"/>
          <w:szCs w:val="28"/>
          <w:lang w:eastAsia="uk-UA"/>
        </w:rPr>
      </w:pPr>
    </w:p>
    <w:p w:rsidR="0051714D" w:rsidRPr="00AA7BFE" w:rsidRDefault="0051714D" w:rsidP="004646FD">
      <w:pPr>
        <w:spacing w:line="240" w:lineRule="auto"/>
        <w:jc w:val="both"/>
        <w:rPr>
          <w:rFonts w:ascii="Times New Roman" w:hAnsi="Times New Roman"/>
          <w:sz w:val="28"/>
          <w:szCs w:val="28"/>
        </w:rPr>
      </w:pPr>
    </w:p>
    <w:sectPr w:rsidR="0051714D" w:rsidRPr="00AA7BFE" w:rsidSect="00A644A9">
      <w:headerReference w:type="firs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5C" w:rsidRDefault="00115C5C">
      <w:pPr>
        <w:spacing w:after="0" w:line="240" w:lineRule="auto"/>
      </w:pPr>
      <w:r>
        <w:separator/>
      </w:r>
    </w:p>
  </w:endnote>
  <w:endnote w:type="continuationSeparator" w:id="0">
    <w:p w:rsidR="00115C5C" w:rsidRDefault="0011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5C" w:rsidRDefault="00115C5C">
      <w:pPr>
        <w:spacing w:after="0" w:line="240" w:lineRule="auto"/>
      </w:pPr>
      <w:r>
        <w:separator/>
      </w:r>
    </w:p>
  </w:footnote>
  <w:footnote w:type="continuationSeparator" w:id="0">
    <w:p w:rsidR="00115C5C" w:rsidRDefault="00115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403416">
    <w:pPr>
      <w:pStyle w:val="a3"/>
      <w:jc w:val="center"/>
    </w:pPr>
    <w:r>
      <w:fldChar w:fldCharType="begin"/>
    </w:r>
    <w:r w:rsidR="00EF6C76">
      <w:instrText>PAGE   \* MERGEFORMAT</w:instrText>
    </w:r>
    <w:r>
      <w:fldChar w:fldCharType="separate"/>
    </w:r>
    <w:r w:rsidR="00EF6C76">
      <w:rPr>
        <w:noProof/>
      </w:rPr>
      <w:t>2</w:t>
    </w:r>
    <w:r>
      <w:rPr>
        <w:noProof/>
      </w:rPr>
      <w:fldChar w:fldCharType="end"/>
    </w:r>
  </w:p>
  <w:p w:rsidR="00EF6C76" w:rsidRDefault="00EF6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EF6C76" w:rsidP="00A644A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403416">
    <w:pPr>
      <w:pStyle w:val="a3"/>
      <w:jc w:val="center"/>
    </w:pPr>
    <w:r>
      <w:fldChar w:fldCharType="begin"/>
    </w:r>
    <w:r w:rsidR="00EF6C76">
      <w:instrText>PAGE   \* MERGEFORMAT</w:instrText>
    </w:r>
    <w:r>
      <w:fldChar w:fldCharType="separate"/>
    </w:r>
    <w:r w:rsidR="004646FD">
      <w:rPr>
        <w:noProof/>
      </w:rPr>
      <w:t>5</w:t>
    </w:r>
    <w:r>
      <w:rPr>
        <w:noProof/>
      </w:rPr>
      <w:fldChar w:fldCharType="end"/>
    </w:r>
  </w:p>
  <w:p w:rsidR="00EF6C76" w:rsidRDefault="00EF6C7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403416">
    <w:pPr>
      <w:pStyle w:val="a3"/>
      <w:jc w:val="center"/>
    </w:pPr>
    <w:r>
      <w:fldChar w:fldCharType="begin"/>
    </w:r>
    <w:r w:rsidR="00EF6C76">
      <w:instrText>PAGE   \* MERGEFORMAT</w:instrText>
    </w:r>
    <w:r>
      <w:fldChar w:fldCharType="separate"/>
    </w:r>
    <w:r w:rsidR="004646FD">
      <w:rPr>
        <w:noProof/>
      </w:rPr>
      <w:t>10</w:t>
    </w:r>
    <w:r>
      <w:rPr>
        <w:noProof/>
      </w:rPr>
      <w:fldChar w:fldCharType="end"/>
    </w:r>
  </w:p>
  <w:p w:rsidR="00EF6C76" w:rsidRDefault="006E0840">
    <w:pPr>
      <w:pStyle w:val="a3"/>
    </w:pPr>
    <w:r>
      <w:rPr>
        <w:noProof/>
      </w:rPr>
      <mc:AlternateContent>
        <mc:Choice Requires="wps">
          <w:drawing>
            <wp:anchor distT="45720" distB="45720" distL="114300" distR="114300" simplePos="0" relativeHeight="251659264" behindDoc="0" locked="0" layoutInCell="1" allowOverlap="1">
              <wp:simplePos x="0" y="0"/>
              <wp:positionH relativeFrom="column">
                <wp:posOffset>10243185</wp:posOffset>
              </wp:positionH>
              <wp:positionV relativeFrom="paragraph">
                <wp:posOffset>12065</wp:posOffset>
              </wp:positionV>
              <wp:extent cx="2160270" cy="500380"/>
              <wp:effectExtent l="0" t="0" r="0"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00380"/>
                      </a:xfrm>
                      <a:prstGeom prst="rect">
                        <a:avLst/>
                      </a:prstGeom>
                      <a:solidFill>
                        <a:srgbClr val="FFFFFF"/>
                      </a:solidFill>
                      <a:ln w="9525">
                        <a:noFill/>
                        <a:miter lim="800000"/>
                        <a:headEnd/>
                        <a:tailEnd/>
                      </a:ln>
                    </wps:spPr>
                    <wps:txbx>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1</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806.55pt;margin-top:.95pt;width:170.1pt;height:39.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" stroked="f">
              <v:textbox style="mso-fit-shape-to-text:t">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1</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v:textbox>
            </v:shape>
          </w:pict>
        </mc:Fallback>
      </mc:AlternateContent>
    </w:r>
  </w:p>
  <w:p w:rsidR="00EF6C76" w:rsidRDefault="00EF6C76">
    <w:pPr>
      <w:pStyle w:val="a3"/>
    </w:pPr>
  </w:p>
  <w:p w:rsidR="00EF6C76" w:rsidRDefault="00EF6C76">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403416">
    <w:pPr>
      <w:pStyle w:val="a3"/>
      <w:jc w:val="center"/>
    </w:pPr>
    <w:r>
      <w:fldChar w:fldCharType="begin"/>
    </w:r>
    <w:r w:rsidR="00EF6C76">
      <w:instrText>PAGE   \* MERGEFORMAT</w:instrText>
    </w:r>
    <w:r>
      <w:fldChar w:fldCharType="separate"/>
    </w:r>
    <w:r w:rsidR="004646FD">
      <w:rPr>
        <w:noProof/>
      </w:rPr>
      <w:t>6</w:t>
    </w:r>
    <w:r>
      <w:rPr>
        <w:noProof/>
      </w:rPr>
      <w:fldChar w:fldCharType="end"/>
    </w:r>
  </w:p>
  <w:p w:rsidR="00EF6C76" w:rsidRDefault="006E0840">
    <w:pPr>
      <w:pStyle w:val="a3"/>
    </w:pPr>
    <w:r>
      <w:rPr>
        <w:noProof/>
      </w:rPr>
      <mc:AlternateContent>
        <mc:Choice Requires="wps">
          <w:drawing>
            <wp:anchor distT="45720" distB="45720" distL="114300" distR="114300" simplePos="0" relativeHeight="251661312" behindDoc="0" locked="0" layoutInCell="1" allowOverlap="1">
              <wp:simplePos x="0" y="0"/>
              <wp:positionH relativeFrom="column">
                <wp:posOffset>9803130</wp:posOffset>
              </wp:positionH>
              <wp:positionV relativeFrom="paragraph">
                <wp:posOffset>59690</wp:posOffset>
              </wp:positionV>
              <wp:extent cx="2160270" cy="500380"/>
              <wp:effectExtent l="0" t="0" r="0" b="0"/>
              <wp:wrapNone/>
              <wp:docPr id="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00380"/>
                      </a:xfrm>
                      <a:prstGeom prst="rect">
                        <a:avLst/>
                      </a:prstGeom>
                      <a:solidFill>
                        <a:srgbClr val="FFFFFF"/>
                      </a:solidFill>
                      <a:ln w="9525">
                        <a:noFill/>
                        <a:miter lim="800000"/>
                        <a:headEnd/>
                        <a:tailEnd/>
                      </a:ln>
                    </wps:spPr>
                    <wps:txbx>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3</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71.9pt;margin-top:4.7pt;width:170.1pt;height:39.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" stroked="f">
              <v:textbox style="mso-fit-shape-to-text:t">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3</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v:textbox>
            </v:shape>
          </w:pict>
        </mc:Fallback>
      </mc:AlternateContent>
    </w:r>
  </w:p>
  <w:p w:rsidR="00EF6C76" w:rsidRDefault="00EF6C76">
    <w:pPr>
      <w:pStyle w:val="a3"/>
    </w:pPr>
  </w:p>
  <w:p w:rsidR="00EF6C76" w:rsidRDefault="00EF6C76">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403416">
    <w:pPr>
      <w:pStyle w:val="a3"/>
      <w:jc w:val="center"/>
    </w:pPr>
    <w:r>
      <w:fldChar w:fldCharType="begin"/>
    </w:r>
    <w:r w:rsidR="00EF6C76">
      <w:instrText>PAGE   \* MERGEFORMAT</w:instrText>
    </w:r>
    <w:r>
      <w:fldChar w:fldCharType="separate"/>
    </w:r>
    <w:r w:rsidR="004646FD">
      <w:rPr>
        <w:noProof/>
      </w:rPr>
      <w:t>2</w:t>
    </w:r>
    <w:r>
      <w:rPr>
        <w:noProof/>
      </w:rPr>
      <w:fldChar w:fldCharType="end"/>
    </w:r>
  </w:p>
  <w:p w:rsidR="00EF6C76" w:rsidRDefault="006E0840">
    <w:pPr>
      <w:pStyle w:val="a3"/>
    </w:pPr>
    <w:r>
      <w:rPr>
        <w:noProof/>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60325</wp:posOffset>
              </wp:positionV>
              <wp:extent cx="2160270" cy="500380"/>
              <wp:effectExtent l="0" t="0" r="0" b="0"/>
              <wp:wrapNone/>
              <wp:docPr id="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00380"/>
                      </a:xfrm>
                      <a:prstGeom prst="rect">
                        <a:avLst/>
                      </a:prstGeom>
                      <a:solidFill>
                        <a:srgbClr val="FFFFFF"/>
                      </a:solidFill>
                      <a:ln w="9525">
                        <a:noFill/>
                        <a:miter lim="800000"/>
                        <a:headEnd/>
                        <a:tailEnd/>
                      </a:ln>
                    </wps:spPr>
                    <wps:txbx>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4</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8.9pt;margin-top:4.75pt;width:170.1pt;height:39.4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" stroked="f">
              <v:textbox style="mso-fit-shape-to-text:t">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4</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v:textbox>
              <w10:wrap anchorx="margin"/>
            </v:shape>
          </w:pict>
        </mc:Fallback>
      </mc:AlternateContent>
    </w:r>
  </w:p>
  <w:p w:rsidR="00EF6C76" w:rsidRDefault="00EF6C76">
    <w:pPr>
      <w:pStyle w:val="a3"/>
    </w:pPr>
  </w:p>
  <w:p w:rsidR="00EF6C76" w:rsidRDefault="00EF6C76">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403416">
    <w:pPr>
      <w:pStyle w:val="a3"/>
      <w:jc w:val="center"/>
    </w:pPr>
    <w:r>
      <w:fldChar w:fldCharType="begin"/>
    </w:r>
    <w:r w:rsidR="00EF6C76">
      <w:instrText>PAGE   \* MERGEFORMAT</w:instrText>
    </w:r>
    <w:r>
      <w:fldChar w:fldCharType="separate"/>
    </w:r>
    <w:r w:rsidR="004646FD">
      <w:rPr>
        <w:noProof/>
      </w:rPr>
      <w:t>2</w:t>
    </w:r>
    <w:r>
      <w:rPr>
        <w:noProof/>
      </w:rPr>
      <w:fldChar w:fldCharType="end"/>
    </w:r>
  </w:p>
  <w:p w:rsidR="00EF6C76" w:rsidRDefault="006E0840">
    <w:pPr>
      <w:pStyle w:val="a3"/>
    </w:pPr>
    <w:r>
      <w:rPr>
        <w:noProof/>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59690</wp:posOffset>
              </wp:positionV>
              <wp:extent cx="2160270" cy="500380"/>
              <wp:effectExtent l="0" t="0" r="0" b="0"/>
              <wp:wrapNone/>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00380"/>
                      </a:xfrm>
                      <a:prstGeom prst="rect">
                        <a:avLst/>
                      </a:prstGeom>
                      <a:solidFill>
                        <a:srgbClr val="FFFFFF"/>
                      </a:solidFill>
                      <a:ln w="9525">
                        <a:noFill/>
                        <a:miter lim="800000"/>
                        <a:headEnd/>
                        <a:tailEnd/>
                      </a:ln>
                    </wps:spPr>
                    <wps:txbx>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5</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9pt;margin-top:4.7pt;width:170.1pt;height:39.4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" stroked="f">
              <v:textbox style="mso-fit-shape-to-text:t">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5</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v:textbox>
              <w10:wrap anchorx="margin"/>
            </v:shape>
          </w:pict>
        </mc:Fallback>
      </mc:AlternateContent>
    </w:r>
  </w:p>
  <w:p w:rsidR="00EF6C76" w:rsidRDefault="00EF6C76">
    <w:pPr>
      <w:pStyle w:val="a3"/>
    </w:pPr>
  </w:p>
  <w:p w:rsidR="00EF6C76" w:rsidRDefault="00EF6C76">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403416">
    <w:pPr>
      <w:pStyle w:val="a3"/>
      <w:jc w:val="center"/>
    </w:pPr>
    <w:r>
      <w:fldChar w:fldCharType="begin"/>
    </w:r>
    <w:r w:rsidR="00EF6C76">
      <w:instrText>PAGE   \* MERGEFORMAT</w:instrText>
    </w:r>
    <w:r>
      <w:fldChar w:fldCharType="separate"/>
    </w:r>
    <w:r w:rsidR="004646FD">
      <w:rPr>
        <w:noProof/>
      </w:rPr>
      <w:t>2</w:t>
    </w:r>
    <w:r>
      <w:rPr>
        <w:noProof/>
      </w:rPr>
      <w:fldChar w:fldCharType="end"/>
    </w:r>
  </w:p>
  <w:p w:rsidR="00EF6C76" w:rsidRDefault="00EF6C76">
    <w:pPr>
      <w:pStyle w:val="a3"/>
    </w:pPr>
  </w:p>
  <w:p w:rsidR="00EF6C76" w:rsidRDefault="006E0840">
    <w:pPr>
      <w:pStyle w:val="a3"/>
    </w:pPr>
    <w:r>
      <w:rPr>
        <w:noProof/>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13335</wp:posOffset>
              </wp:positionV>
              <wp:extent cx="2160270" cy="500380"/>
              <wp:effectExtent l="0" t="0" r="0" b="0"/>
              <wp:wrapNone/>
              <wp:docPr id="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00380"/>
                      </a:xfrm>
                      <a:prstGeom prst="rect">
                        <a:avLst/>
                      </a:prstGeom>
                      <a:solidFill>
                        <a:srgbClr val="FFFFFF"/>
                      </a:solidFill>
                      <a:ln w="9525">
                        <a:noFill/>
                        <a:miter lim="800000"/>
                        <a:headEnd/>
                        <a:tailEnd/>
                      </a:ln>
                    </wps:spPr>
                    <wps:txbx>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6</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18.9pt;margin-top:1.05pt;width:170.1pt;height:39.4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" stroked="f">
              <v:textbox style="mso-fit-shape-to-text:t">
                <w:txbxContent>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 xml:space="preserve">Продовження додатка </w:t>
                    </w:r>
                    <w:r>
                      <w:rPr>
                        <w:rFonts w:ascii="Times New Roman" w:eastAsia="Times New Roman" w:hAnsi="Times New Roman"/>
                        <w:sz w:val="28"/>
                        <w:szCs w:val="28"/>
                        <w:shd w:val="clear" w:color="auto" w:fill="FFFFFF"/>
                        <w:lang w:eastAsia="ru-RU"/>
                      </w:rPr>
                      <w:t>6</w:t>
                    </w:r>
                  </w:p>
                  <w:p w:rsidR="00EF6C76" w:rsidRPr="00F43659" w:rsidRDefault="00EF6C76" w:rsidP="00F43659">
                    <w:pPr>
                      <w:spacing w:after="0" w:line="240" w:lineRule="auto"/>
                      <w:rPr>
                        <w:rFonts w:ascii="Times New Roman" w:eastAsia="Times New Roman" w:hAnsi="Times New Roman"/>
                        <w:sz w:val="28"/>
                        <w:szCs w:val="28"/>
                        <w:shd w:val="clear" w:color="auto" w:fill="FFFFFF"/>
                        <w:lang w:eastAsia="ru-RU"/>
                      </w:rPr>
                    </w:pPr>
                    <w:r w:rsidRPr="00F43659">
                      <w:rPr>
                        <w:rFonts w:ascii="Times New Roman" w:eastAsia="Times New Roman" w:hAnsi="Times New Roman"/>
                        <w:sz w:val="28"/>
                        <w:szCs w:val="28"/>
                        <w:shd w:val="clear" w:color="auto" w:fill="FFFFFF"/>
                        <w:lang w:eastAsia="ru-RU"/>
                      </w:rPr>
                      <w:t>Продовження таблиці</w:t>
                    </w:r>
                  </w:p>
                </w:txbxContent>
              </v:textbox>
              <w10:wrap anchorx="margin"/>
            </v:shape>
          </w:pict>
        </mc:Fallback>
      </mc:AlternateContent>
    </w:r>
  </w:p>
  <w:p w:rsidR="00EF6C76" w:rsidRDefault="00EF6C76">
    <w:pPr>
      <w:pStyle w:val="a3"/>
    </w:pPr>
  </w:p>
  <w:p w:rsidR="00EF6C76" w:rsidRDefault="00EF6C76">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76" w:rsidRDefault="00EF6C76" w:rsidP="00A644A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F48"/>
    <w:multiLevelType w:val="hybridMultilevel"/>
    <w:tmpl w:val="631EE7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D84F0C"/>
    <w:multiLevelType w:val="hybridMultilevel"/>
    <w:tmpl w:val="ADBCB164"/>
    <w:lvl w:ilvl="0" w:tplc="97E246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B346B7"/>
    <w:multiLevelType w:val="hybridMultilevel"/>
    <w:tmpl w:val="61FEBF70"/>
    <w:lvl w:ilvl="0" w:tplc="44F03A3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1A112E"/>
    <w:multiLevelType w:val="hybridMultilevel"/>
    <w:tmpl w:val="1494B9E2"/>
    <w:lvl w:ilvl="0" w:tplc="64604B32">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15F43AF"/>
    <w:multiLevelType w:val="hybridMultilevel"/>
    <w:tmpl w:val="E870D256"/>
    <w:lvl w:ilvl="0" w:tplc="C802B0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4445454"/>
    <w:multiLevelType w:val="hybridMultilevel"/>
    <w:tmpl w:val="AF0E27B8"/>
    <w:lvl w:ilvl="0" w:tplc="DD34971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B0500A4"/>
    <w:multiLevelType w:val="hybridMultilevel"/>
    <w:tmpl w:val="0E2AE5F2"/>
    <w:lvl w:ilvl="0" w:tplc="686694B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CDF7302"/>
    <w:multiLevelType w:val="hybridMultilevel"/>
    <w:tmpl w:val="6F28C5A6"/>
    <w:lvl w:ilvl="0" w:tplc="F272C35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9F40DC"/>
    <w:multiLevelType w:val="hybridMultilevel"/>
    <w:tmpl w:val="F8DE14CE"/>
    <w:lvl w:ilvl="0" w:tplc="B44A0DE2">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5451701C"/>
    <w:multiLevelType w:val="hybridMultilevel"/>
    <w:tmpl w:val="49A47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8516D"/>
    <w:multiLevelType w:val="hybridMultilevel"/>
    <w:tmpl w:val="F9F4A5B2"/>
    <w:lvl w:ilvl="0" w:tplc="36F4B2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E1F219F"/>
    <w:multiLevelType w:val="hybridMultilevel"/>
    <w:tmpl w:val="49A47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5A3E61"/>
    <w:multiLevelType w:val="hybridMultilevel"/>
    <w:tmpl w:val="D1A2D978"/>
    <w:lvl w:ilvl="0" w:tplc="DAB4D91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630C7DBA"/>
    <w:multiLevelType w:val="hybridMultilevel"/>
    <w:tmpl w:val="FCFCD556"/>
    <w:lvl w:ilvl="0" w:tplc="91DC49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8AF3D49"/>
    <w:multiLevelType w:val="hybridMultilevel"/>
    <w:tmpl w:val="A34C35BA"/>
    <w:lvl w:ilvl="0" w:tplc="40960B9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7D504C69"/>
    <w:multiLevelType w:val="hybridMultilevel"/>
    <w:tmpl w:val="3DD0CEAC"/>
    <w:lvl w:ilvl="0" w:tplc="ECAE88EC">
      <w:start w:val="15"/>
      <w:numFmt w:val="decimal"/>
      <w:lvlText w:val="%1."/>
      <w:lvlJc w:val="left"/>
      <w:pPr>
        <w:ind w:left="680" w:hanging="360"/>
      </w:pPr>
      <w:rPr>
        <w:rFonts w:hint="default"/>
        <w:color w:val="000000"/>
      </w:rPr>
    </w:lvl>
    <w:lvl w:ilvl="1" w:tplc="04220019" w:tentative="1">
      <w:start w:val="1"/>
      <w:numFmt w:val="lowerLetter"/>
      <w:lvlText w:val="%2."/>
      <w:lvlJc w:val="left"/>
      <w:pPr>
        <w:ind w:left="1400" w:hanging="360"/>
      </w:pPr>
    </w:lvl>
    <w:lvl w:ilvl="2" w:tplc="0422001B" w:tentative="1">
      <w:start w:val="1"/>
      <w:numFmt w:val="lowerRoman"/>
      <w:lvlText w:val="%3."/>
      <w:lvlJc w:val="right"/>
      <w:pPr>
        <w:ind w:left="2120" w:hanging="180"/>
      </w:pPr>
    </w:lvl>
    <w:lvl w:ilvl="3" w:tplc="0422000F" w:tentative="1">
      <w:start w:val="1"/>
      <w:numFmt w:val="decimal"/>
      <w:lvlText w:val="%4."/>
      <w:lvlJc w:val="left"/>
      <w:pPr>
        <w:ind w:left="2840" w:hanging="360"/>
      </w:pPr>
    </w:lvl>
    <w:lvl w:ilvl="4" w:tplc="04220019" w:tentative="1">
      <w:start w:val="1"/>
      <w:numFmt w:val="lowerLetter"/>
      <w:lvlText w:val="%5."/>
      <w:lvlJc w:val="left"/>
      <w:pPr>
        <w:ind w:left="3560" w:hanging="360"/>
      </w:pPr>
    </w:lvl>
    <w:lvl w:ilvl="5" w:tplc="0422001B" w:tentative="1">
      <w:start w:val="1"/>
      <w:numFmt w:val="lowerRoman"/>
      <w:lvlText w:val="%6."/>
      <w:lvlJc w:val="right"/>
      <w:pPr>
        <w:ind w:left="4280" w:hanging="180"/>
      </w:pPr>
    </w:lvl>
    <w:lvl w:ilvl="6" w:tplc="0422000F" w:tentative="1">
      <w:start w:val="1"/>
      <w:numFmt w:val="decimal"/>
      <w:lvlText w:val="%7."/>
      <w:lvlJc w:val="left"/>
      <w:pPr>
        <w:ind w:left="5000" w:hanging="360"/>
      </w:pPr>
    </w:lvl>
    <w:lvl w:ilvl="7" w:tplc="04220019" w:tentative="1">
      <w:start w:val="1"/>
      <w:numFmt w:val="lowerLetter"/>
      <w:lvlText w:val="%8."/>
      <w:lvlJc w:val="left"/>
      <w:pPr>
        <w:ind w:left="5720" w:hanging="360"/>
      </w:pPr>
    </w:lvl>
    <w:lvl w:ilvl="8" w:tplc="0422001B" w:tentative="1">
      <w:start w:val="1"/>
      <w:numFmt w:val="lowerRoman"/>
      <w:lvlText w:val="%9."/>
      <w:lvlJc w:val="right"/>
      <w:pPr>
        <w:ind w:left="6440" w:hanging="180"/>
      </w:pPr>
    </w:lvl>
  </w:abstractNum>
  <w:num w:numId="1">
    <w:abstractNumId w:val="8"/>
  </w:num>
  <w:num w:numId="2">
    <w:abstractNumId w:val="11"/>
  </w:num>
  <w:num w:numId="3">
    <w:abstractNumId w:val="2"/>
  </w:num>
  <w:num w:numId="4">
    <w:abstractNumId w:val="9"/>
  </w:num>
  <w:num w:numId="5">
    <w:abstractNumId w:val="0"/>
  </w:num>
  <w:num w:numId="6">
    <w:abstractNumId w:val="6"/>
  </w:num>
  <w:num w:numId="7">
    <w:abstractNumId w:val="7"/>
  </w:num>
  <w:num w:numId="8">
    <w:abstractNumId w:val="15"/>
  </w:num>
  <w:num w:numId="9">
    <w:abstractNumId w:val="5"/>
  </w:num>
  <w:num w:numId="10">
    <w:abstractNumId w:val="4"/>
  </w:num>
  <w:num w:numId="11">
    <w:abstractNumId w:val="14"/>
  </w:num>
  <w:num w:numId="12">
    <w:abstractNumId w:val="12"/>
  </w:num>
  <w:num w:numId="13">
    <w:abstractNumId w:val="1"/>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C9"/>
    <w:rsid w:val="00002359"/>
    <w:rsid w:val="0000359E"/>
    <w:rsid w:val="000131F7"/>
    <w:rsid w:val="000205F9"/>
    <w:rsid w:val="00020687"/>
    <w:rsid w:val="00026EDD"/>
    <w:rsid w:val="0002795A"/>
    <w:rsid w:val="00033327"/>
    <w:rsid w:val="000464DF"/>
    <w:rsid w:val="000533A9"/>
    <w:rsid w:val="00060C20"/>
    <w:rsid w:val="00070013"/>
    <w:rsid w:val="0007569F"/>
    <w:rsid w:val="00081EEA"/>
    <w:rsid w:val="00084546"/>
    <w:rsid w:val="00096045"/>
    <w:rsid w:val="000A3F89"/>
    <w:rsid w:val="000B5ED4"/>
    <w:rsid w:val="000B7174"/>
    <w:rsid w:val="000C0A79"/>
    <w:rsid w:val="000C7A91"/>
    <w:rsid w:val="000D0762"/>
    <w:rsid w:val="000D3C9F"/>
    <w:rsid w:val="000E79A1"/>
    <w:rsid w:val="00115C5C"/>
    <w:rsid w:val="0011617E"/>
    <w:rsid w:val="00120CD1"/>
    <w:rsid w:val="00130F17"/>
    <w:rsid w:val="00130FC6"/>
    <w:rsid w:val="00141E6F"/>
    <w:rsid w:val="00142B40"/>
    <w:rsid w:val="00147808"/>
    <w:rsid w:val="00152B1B"/>
    <w:rsid w:val="001614FB"/>
    <w:rsid w:val="00162AE2"/>
    <w:rsid w:val="0018323E"/>
    <w:rsid w:val="00196084"/>
    <w:rsid w:val="001A31B1"/>
    <w:rsid w:val="001A54E7"/>
    <w:rsid w:val="001B206E"/>
    <w:rsid w:val="001C1DB7"/>
    <w:rsid w:val="001C783D"/>
    <w:rsid w:val="001D3604"/>
    <w:rsid w:val="001D4B1C"/>
    <w:rsid w:val="001E512B"/>
    <w:rsid w:val="001F6414"/>
    <w:rsid w:val="001F7CD6"/>
    <w:rsid w:val="002005B5"/>
    <w:rsid w:val="00201195"/>
    <w:rsid w:val="00210377"/>
    <w:rsid w:val="00212B24"/>
    <w:rsid w:val="002208FC"/>
    <w:rsid w:val="0022264A"/>
    <w:rsid w:val="002240D6"/>
    <w:rsid w:val="00227C30"/>
    <w:rsid w:val="00250548"/>
    <w:rsid w:val="00251319"/>
    <w:rsid w:val="002777F1"/>
    <w:rsid w:val="00277B6E"/>
    <w:rsid w:val="00287196"/>
    <w:rsid w:val="002900EC"/>
    <w:rsid w:val="0029227E"/>
    <w:rsid w:val="002A4403"/>
    <w:rsid w:val="002B0063"/>
    <w:rsid w:val="002B4212"/>
    <w:rsid w:val="002C680E"/>
    <w:rsid w:val="002C78EA"/>
    <w:rsid w:val="002E2FF1"/>
    <w:rsid w:val="002E4B81"/>
    <w:rsid w:val="00314A13"/>
    <w:rsid w:val="00317545"/>
    <w:rsid w:val="0032790B"/>
    <w:rsid w:val="0034533B"/>
    <w:rsid w:val="00346FF1"/>
    <w:rsid w:val="00347346"/>
    <w:rsid w:val="00354000"/>
    <w:rsid w:val="00355E80"/>
    <w:rsid w:val="00362B85"/>
    <w:rsid w:val="00362BE3"/>
    <w:rsid w:val="00362FDE"/>
    <w:rsid w:val="00371A40"/>
    <w:rsid w:val="00374884"/>
    <w:rsid w:val="003863AF"/>
    <w:rsid w:val="00386EFD"/>
    <w:rsid w:val="00387346"/>
    <w:rsid w:val="003904E1"/>
    <w:rsid w:val="00392F78"/>
    <w:rsid w:val="003B27E0"/>
    <w:rsid w:val="003B2A82"/>
    <w:rsid w:val="003B7AF8"/>
    <w:rsid w:val="003C5C37"/>
    <w:rsid w:val="003D16DB"/>
    <w:rsid w:val="003D2B35"/>
    <w:rsid w:val="003D2EA8"/>
    <w:rsid w:val="003D7F12"/>
    <w:rsid w:val="003F7C72"/>
    <w:rsid w:val="00402620"/>
    <w:rsid w:val="00403416"/>
    <w:rsid w:val="00407F07"/>
    <w:rsid w:val="0041026E"/>
    <w:rsid w:val="00412D3E"/>
    <w:rsid w:val="00424CB9"/>
    <w:rsid w:val="0042570A"/>
    <w:rsid w:val="004272C9"/>
    <w:rsid w:val="00456A67"/>
    <w:rsid w:val="00461B8B"/>
    <w:rsid w:val="00464424"/>
    <w:rsid w:val="004646FD"/>
    <w:rsid w:val="00473FEA"/>
    <w:rsid w:val="004867F5"/>
    <w:rsid w:val="004870E4"/>
    <w:rsid w:val="00490A83"/>
    <w:rsid w:val="0049752C"/>
    <w:rsid w:val="004A7C7C"/>
    <w:rsid w:val="004B7FA8"/>
    <w:rsid w:val="004C358B"/>
    <w:rsid w:val="004C3BEA"/>
    <w:rsid w:val="004C60F5"/>
    <w:rsid w:val="004C67EB"/>
    <w:rsid w:val="004C72FC"/>
    <w:rsid w:val="004E0EBA"/>
    <w:rsid w:val="004E0FAE"/>
    <w:rsid w:val="004E30C6"/>
    <w:rsid w:val="005053A6"/>
    <w:rsid w:val="0051684E"/>
    <w:rsid w:val="0051714D"/>
    <w:rsid w:val="00533A26"/>
    <w:rsid w:val="00534180"/>
    <w:rsid w:val="0053631C"/>
    <w:rsid w:val="005412E3"/>
    <w:rsid w:val="00544FDB"/>
    <w:rsid w:val="005469BF"/>
    <w:rsid w:val="005654B1"/>
    <w:rsid w:val="00565501"/>
    <w:rsid w:val="005672FF"/>
    <w:rsid w:val="00583168"/>
    <w:rsid w:val="005978A7"/>
    <w:rsid w:val="005A787C"/>
    <w:rsid w:val="005C4E45"/>
    <w:rsid w:val="005D0CFA"/>
    <w:rsid w:val="005E1C54"/>
    <w:rsid w:val="005E2D18"/>
    <w:rsid w:val="005E38EF"/>
    <w:rsid w:val="005E76DE"/>
    <w:rsid w:val="005F310F"/>
    <w:rsid w:val="006106CF"/>
    <w:rsid w:val="00610B31"/>
    <w:rsid w:val="00612887"/>
    <w:rsid w:val="00615788"/>
    <w:rsid w:val="00615AC3"/>
    <w:rsid w:val="00621387"/>
    <w:rsid w:val="00636CE3"/>
    <w:rsid w:val="00645680"/>
    <w:rsid w:val="006501CD"/>
    <w:rsid w:val="00651D75"/>
    <w:rsid w:val="00652040"/>
    <w:rsid w:val="006529F6"/>
    <w:rsid w:val="00665563"/>
    <w:rsid w:val="00665DFA"/>
    <w:rsid w:val="0067637E"/>
    <w:rsid w:val="00677D69"/>
    <w:rsid w:val="00681429"/>
    <w:rsid w:val="006830CD"/>
    <w:rsid w:val="006873A9"/>
    <w:rsid w:val="006B1E3F"/>
    <w:rsid w:val="006B1FD1"/>
    <w:rsid w:val="006C04EA"/>
    <w:rsid w:val="006C3D84"/>
    <w:rsid w:val="006D1B62"/>
    <w:rsid w:val="006D4B21"/>
    <w:rsid w:val="006D5AFE"/>
    <w:rsid w:val="006E0840"/>
    <w:rsid w:val="006E10A3"/>
    <w:rsid w:val="006E3523"/>
    <w:rsid w:val="00700766"/>
    <w:rsid w:val="0070129C"/>
    <w:rsid w:val="00701AE2"/>
    <w:rsid w:val="00712649"/>
    <w:rsid w:val="00717830"/>
    <w:rsid w:val="007303C7"/>
    <w:rsid w:val="00731A97"/>
    <w:rsid w:val="007324D4"/>
    <w:rsid w:val="00742D43"/>
    <w:rsid w:val="0074582E"/>
    <w:rsid w:val="00745D1D"/>
    <w:rsid w:val="00750FAA"/>
    <w:rsid w:val="00753711"/>
    <w:rsid w:val="007552AE"/>
    <w:rsid w:val="007675AB"/>
    <w:rsid w:val="00767D7E"/>
    <w:rsid w:val="0077166A"/>
    <w:rsid w:val="00772F5D"/>
    <w:rsid w:val="0077697D"/>
    <w:rsid w:val="007A6DCA"/>
    <w:rsid w:val="007A790A"/>
    <w:rsid w:val="007B1E76"/>
    <w:rsid w:val="007B25F5"/>
    <w:rsid w:val="007E4B5C"/>
    <w:rsid w:val="007E795E"/>
    <w:rsid w:val="007F4321"/>
    <w:rsid w:val="007F500D"/>
    <w:rsid w:val="0080042A"/>
    <w:rsid w:val="00805E40"/>
    <w:rsid w:val="00806508"/>
    <w:rsid w:val="00807110"/>
    <w:rsid w:val="00811C08"/>
    <w:rsid w:val="00812F85"/>
    <w:rsid w:val="00817A7A"/>
    <w:rsid w:val="00822DB5"/>
    <w:rsid w:val="0082540A"/>
    <w:rsid w:val="008270B7"/>
    <w:rsid w:val="00834388"/>
    <w:rsid w:val="00836E12"/>
    <w:rsid w:val="00841C4E"/>
    <w:rsid w:val="0085003E"/>
    <w:rsid w:val="008543F3"/>
    <w:rsid w:val="00861638"/>
    <w:rsid w:val="00883C13"/>
    <w:rsid w:val="0089218C"/>
    <w:rsid w:val="00893630"/>
    <w:rsid w:val="008A051B"/>
    <w:rsid w:val="008A2506"/>
    <w:rsid w:val="008A5225"/>
    <w:rsid w:val="008A6EFC"/>
    <w:rsid w:val="008A7A00"/>
    <w:rsid w:val="008B1127"/>
    <w:rsid w:val="008C213B"/>
    <w:rsid w:val="008C3368"/>
    <w:rsid w:val="008C36E1"/>
    <w:rsid w:val="008C56AF"/>
    <w:rsid w:val="008D0086"/>
    <w:rsid w:val="008D6975"/>
    <w:rsid w:val="008E07FF"/>
    <w:rsid w:val="008E3EEA"/>
    <w:rsid w:val="008E690B"/>
    <w:rsid w:val="008F11BA"/>
    <w:rsid w:val="00906334"/>
    <w:rsid w:val="0091187D"/>
    <w:rsid w:val="009127AB"/>
    <w:rsid w:val="00914438"/>
    <w:rsid w:val="00914DBD"/>
    <w:rsid w:val="00924242"/>
    <w:rsid w:val="00924C6B"/>
    <w:rsid w:val="00926D0B"/>
    <w:rsid w:val="00926EB3"/>
    <w:rsid w:val="00932EE2"/>
    <w:rsid w:val="00937519"/>
    <w:rsid w:val="00970A36"/>
    <w:rsid w:val="00974307"/>
    <w:rsid w:val="0097771E"/>
    <w:rsid w:val="009814A1"/>
    <w:rsid w:val="00983919"/>
    <w:rsid w:val="00983DAB"/>
    <w:rsid w:val="00996839"/>
    <w:rsid w:val="00997F01"/>
    <w:rsid w:val="009A0E53"/>
    <w:rsid w:val="009A1D70"/>
    <w:rsid w:val="009A3C24"/>
    <w:rsid w:val="009A6CDE"/>
    <w:rsid w:val="009B11B2"/>
    <w:rsid w:val="009B47F6"/>
    <w:rsid w:val="009C0C14"/>
    <w:rsid w:val="009D0997"/>
    <w:rsid w:val="009D0B90"/>
    <w:rsid w:val="009D17E0"/>
    <w:rsid w:val="009D265B"/>
    <w:rsid w:val="009D633E"/>
    <w:rsid w:val="009E6AA5"/>
    <w:rsid w:val="009E74FC"/>
    <w:rsid w:val="009F2C8F"/>
    <w:rsid w:val="009F3E93"/>
    <w:rsid w:val="009F594F"/>
    <w:rsid w:val="009F716D"/>
    <w:rsid w:val="00A04E40"/>
    <w:rsid w:val="00A06738"/>
    <w:rsid w:val="00A11C28"/>
    <w:rsid w:val="00A1247B"/>
    <w:rsid w:val="00A24F0E"/>
    <w:rsid w:val="00A4014D"/>
    <w:rsid w:val="00A41C3B"/>
    <w:rsid w:val="00A43A7E"/>
    <w:rsid w:val="00A45D55"/>
    <w:rsid w:val="00A536FC"/>
    <w:rsid w:val="00A5520E"/>
    <w:rsid w:val="00A56F11"/>
    <w:rsid w:val="00A640D9"/>
    <w:rsid w:val="00A644A9"/>
    <w:rsid w:val="00A774A1"/>
    <w:rsid w:val="00A80BA3"/>
    <w:rsid w:val="00A81127"/>
    <w:rsid w:val="00A91541"/>
    <w:rsid w:val="00A91B60"/>
    <w:rsid w:val="00A930B2"/>
    <w:rsid w:val="00A935D4"/>
    <w:rsid w:val="00AA7BFE"/>
    <w:rsid w:val="00AB2F11"/>
    <w:rsid w:val="00AB4BFC"/>
    <w:rsid w:val="00AC5D7C"/>
    <w:rsid w:val="00AD7A20"/>
    <w:rsid w:val="00AE2B7E"/>
    <w:rsid w:val="00AE618D"/>
    <w:rsid w:val="00AE6CFC"/>
    <w:rsid w:val="00AF1BE8"/>
    <w:rsid w:val="00B102D9"/>
    <w:rsid w:val="00B105F4"/>
    <w:rsid w:val="00B10D71"/>
    <w:rsid w:val="00B13801"/>
    <w:rsid w:val="00B14E13"/>
    <w:rsid w:val="00B227E7"/>
    <w:rsid w:val="00B3634E"/>
    <w:rsid w:val="00B36463"/>
    <w:rsid w:val="00B41B0F"/>
    <w:rsid w:val="00B46AA3"/>
    <w:rsid w:val="00B56356"/>
    <w:rsid w:val="00B63673"/>
    <w:rsid w:val="00B72A71"/>
    <w:rsid w:val="00B75373"/>
    <w:rsid w:val="00B7686B"/>
    <w:rsid w:val="00B90CA9"/>
    <w:rsid w:val="00BA1F14"/>
    <w:rsid w:val="00BB614B"/>
    <w:rsid w:val="00BC1C10"/>
    <w:rsid w:val="00BC2B53"/>
    <w:rsid w:val="00BC4073"/>
    <w:rsid w:val="00BD487C"/>
    <w:rsid w:val="00BD7A29"/>
    <w:rsid w:val="00BE1699"/>
    <w:rsid w:val="00BE576F"/>
    <w:rsid w:val="00BE734D"/>
    <w:rsid w:val="00BF680D"/>
    <w:rsid w:val="00C045ED"/>
    <w:rsid w:val="00C06165"/>
    <w:rsid w:val="00C2288E"/>
    <w:rsid w:val="00C2490F"/>
    <w:rsid w:val="00C25DBF"/>
    <w:rsid w:val="00C34B1F"/>
    <w:rsid w:val="00C40B25"/>
    <w:rsid w:val="00C60220"/>
    <w:rsid w:val="00C643B7"/>
    <w:rsid w:val="00C66B56"/>
    <w:rsid w:val="00C80D3C"/>
    <w:rsid w:val="00C83CD5"/>
    <w:rsid w:val="00C9577C"/>
    <w:rsid w:val="00CB3E31"/>
    <w:rsid w:val="00CC5531"/>
    <w:rsid w:val="00CC69E6"/>
    <w:rsid w:val="00CD2CEF"/>
    <w:rsid w:val="00CD7215"/>
    <w:rsid w:val="00CE0360"/>
    <w:rsid w:val="00CF3888"/>
    <w:rsid w:val="00CF689A"/>
    <w:rsid w:val="00D040D8"/>
    <w:rsid w:val="00D04F5E"/>
    <w:rsid w:val="00D15420"/>
    <w:rsid w:val="00D16D4E"/>
    <w:rsid w:val="00D212C2"/>
    <w:rsid w:val="00D25EB3"/>
    <w:rsid w:val="00D46B36"/>
    <w:rsid w:val="00D47144"/>
    <w:rsid w:val="00D603E5"/>
    <w:rsid w:val="00D61CD0"/>
    <w:rsid w:val="00D6341E"/>
    <w:rsid w:val="00D71DC0"/>
    <w:rsid w:val="00D77E6B"/>
    <w:rsid w:val="00D82A73"/>
    <w:rsid w:val="00D91709"/>
    <w:rsid w:val="00D954FA"/>
    <w:rsid w:val="00D97DF9"/>
    <w:rsid w:val="00DA0798"/>
    <w:rsid w:val="00DA0856"/>
    <w:rsid w:val="00DA2F47"/>
    <w:rsid w:val="00DB23AB"/>
    <w:rsid w:val="00DB4B99"/>
    <w:rsid w:val="00DB7D2D"/>
    <w:rsid w:val="00DC3FA5"/>
    <w:rsid w:val="00DD3A1F"/>
    <w:rsid w:val="00DD4FBF"/>
    <w:rsid w:val="00DE1407"/>
    <w:rsid w:val="00DE20EC"/>
    <w:rsid w:val="00DE3B10"/>
    <w:rsid w:val="00DF1D2E"/>
    <w:rsid w:val="00DF7F91"/>
    <w:rsid w:val="00E01FC4"/>
    <w:rsid w:val="00E164DE"/>
    <w:rsid w:val="00E24240"/>
    <w:rsid w:val="00E26C2F"/>
    <w:rsid w:val="00E414E2"/>
    <w:rsid w:val="00E43B46"/>
    <w:rsid w:val="00E572F0"/>
    <w:rsid w:val="00E628B1"/>
    <w:rsid w:val="00E64425"/>
    <w:rsid w:val="00E720E6"/>
    <w:rsid w:val="00E81573"/>
    <w:rsid w:val="00E81BE6"/>
    <w:rsid w:val="00E86097"/>
    <w:rsid w:val="00E91901"/>
    <w:rsid w:val="00E948D2"/>
    <w:rsid w:val="00E96012"/>
    <w:rsid w:val="00EA2703"/>
    <w:rsid w:val="00EB09D5"/>
    <w:rsid w:val="00EB590D"/>
    <w:rsid w:val="00EC5157"/>
    <w:rsid w:val="00EE1318"/>
    <w:rsid w:val="00EE4B22"/>
    <w:rsid w:val="00EE5557"/>
    <w:rsid w:val="00EE7400"/>
    <w:rsid w:val="00EE7443"/>
    <w:rsid w:val="00EF2D5B"/>
    <w:rsid w:val="00EF34AB"/>
    <w:rsid w:val="00EF6C76"/>
    <w:rsid w:val="00F11073"/>
    <w:rsid w:val="00F33225"/>
    <w:rsid w:val="00F3386A"/>
    <w:rsid w:val="00F344C4"/>
    <w:rsid w:val="00F37248"/>
    <w:rsid w:val="00F404F0"/>
    <w:rsid w:val="00F40FD4"/>
    <w:rsid w:val="00F414DE"/>
    <w:rsid w:val="00F416D2"/>
    <w:rsid w:val="00F43659"/>
    <w:rsid w:val="00F46B0D"/>
    <w:rsid w:val="00F47721"/>
    <w:rsid w:val="00F601E1"/>
    <w:rsid w:val="00F75ECB"/>
    <w:rsid w:val="00F90977"/>
    <w:rsid w:val="00F95D5B"/>
    <w:rsid w:val="00FA0A57"/>
    <w:rsid w:val="00FA3A39"/>
    <w:rsid w:val="00FB17CD"/>
    <w:rsid w:val="00FB3CBB"/>
    <w:rsid w:val="00FE1E34"/>
    <w:rsid w:val="00FE5504"/>
    <w:rsid w:val="00FF57E3"/>
    <w:rsid w:val="00FF77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55C4F-82BA-48B6-84A0-4EC1ACF8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A1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A82"/>
    <w:pPr>
      <w:tabs>
        <w:tab w:val="center" w:pos="4819"/>
        <w:tab w:val="right" w:pos="9639"/>
      </w:tabs>
      <w:spacing w:after="0" w:line="240" w:lineRule="auto"/>
      <w:jc w:val="both"/>
    </w:pPr>
    <w:rPr>
      <w:rFonts w:ascii="Times New Roman" w:eastAsia="SimSun" w:hAnsi="Times New Roman"/>
      <w:sz w:val="28"/>
      <w:szCs w:val="28"/>
      <w:lang w:eastAsia="uk-UA"/>
    </w:rPr>
  </w:style>
  <w:style w:type="character" w:customStyle="1" w:styleId="a4">
    <w:name w:val="Верхній колонтитул Знак"/>
    <w:basedOn w:val="a0"/>
    <w:link w:val="a3"/>
    <w:uiPriority w:val="99"/>
    <w:rsid w:val="003B2A82"/>
    <w:rPr>
      <w:rFonts w:ascii="Times New Roman" w:eastAsia="SimSun" w:hAnsi="Times New Roman" w:cs="Times New Roman"/>
      <w:sz w:val="28"/>
      <w:szCs w:val="28"/>
      <w:lang w:eastAsia="uk-UA"/>
    </w:rPr>
  </w:style>
  <w:style w:type="table" w:styleId="a5">
    <w:name w:val="Table Grid"/>
    <w:basedOn w:val="a1"/>
    <w:uiPriority w:val="39"/>
    <w:rsid w:val="003B2A82"/>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B2A82"/>
    <w:pPr>
      <w:ind w:left="720"/>
      <w:contextualSpacing/>
    </w:pPr>
    <w:rPr>
      <w:lang w:val="ru-RU"/>
    </w:rPr>
  </w:style>
  <w:style w:type="paragraph" w:customStyle="1" w:styleId="rvps14">
    <w:name w:val="rvps14"/>
    <w:basedOn w:val="a"/>
    <w:rsid w:val="003B2A8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1E512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E512B"/>
    <w:rPr>
      <w:rFonts w:ascii="Segoe UI" w:hAnsi="Segoe UI" w:cs="Segoe UI"/>
      <w:sz w:val="18"/>
      <w:szCs w:val="18"/>
    </w:rPr>
  </w:style>
  <w:style w:type="character" w:styleId="a9">
    <w:name w:val="annotation reference"/>
    <w:basedOn w:val="a0"/>
    <w:uiPriority w:val="99"/>
    <w:semiHidden/>
    <w:unhideWhenUsed/>
    <w:rsid w:val="00130FC6"/>
    <w:rPr>
      <w:sz w:val="16"/>
      <w:szCs w:val="16"/>
    </w:rPr>
  </w:style>
  <w:style w:type="paragraph" w:styleId="aa">
    <w:name w:val="annotation text"/>
    <w:basedOn w:val="a"/>
    <w:link w:val="ab"/>
    <w:uiPriority w:val="99"/>
    <w:semiHidden/>
    <w:unhideWhenUsed/>
    <w:rsid w:val="00130FC6"/>
    <w:pPr>
      <w:spacing w:line="240" w:lineRule="auto"/>
    </w:pPr>
    <w:rPr>
      <w:sz w:val="20"/>
      <w:szCs w:val="20"/>
    </w:rPr>
  </w:style>
  <w:style w:type="character" w:customStyle="1" w:styleId="ab">
    <w:name w:val="Текст примітки Знак"/>
    <w:basedOn w:val="a0"/>
    <w:link w:val="aa"/>
    <w:uiPriority w:val="99"/>
    <w:semiHidden/>
    <w:rsid w:val="00130FC6"/>
    <w:rPr>
      <w:sz w:val="20"/>
      <w:szCs w:val="20"/>
    </w:rPr>
  </w:style>
  <w:style w:type="paragraph" w:styleId="ac">
    <w:name w:val="annotation subject"/>
    <w:basedOn w:val="aa"/>
    <w:next w:val="aa"/>
    <w:link w:val="ad"/>
    <w:uiPriority w:val="99"/>
    <w:semiHidden/>
    <w:unhideWhenUsed/>
    <w:rsid w:val="00130FC6"/>
    <w:rPr>
      <w:b/>
      <w:bCs/>
    </w:rPr>
  </w:style>
  <w:style w:type="character" w:customStyle="1" w:styleId="ad">
    <w:name w:val="Тема примітки Знак"/>
    <w:basedOn w:val="ab"/>
    <w:link w:val="ac"/>
    <w:uiPriority w:val="99"/>
    <w:semiHidden/>
    <w:rsid w:val="00130FC6"/>
    <w:rPr>
      <w:b/>
      <w:bCs/>
      <w:sz w:val="20"/>
      <w:szCs w:val="20"/>
    </w:rPr>
  </w:style>
  <w:style w:type="paragraph" w:styleId="ae">
    <w:name w:val="footer"/>
    <w:basedOn w:val="a"/>
    <w:link w:val="af"/>
    <w:uiPriority w:val="99"/>
    <w:unhideWhenUsed/>
    <w:rsid w:val="00F404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F404F0"/>
  </w:style>
  <w:style w:type="paragraph" w:styleId="af0">
    <w:name w:val="footnote text"/>
    <w:basedOn w:val="a"/>
    <w:link w:val="af1"/>
    <w:uiPriority w:val="99"/>
    <w:semiHidden/>
    <w:unhideWhenUsed/>
    <w:rsid w:val="00E628B1"/>
    <w:pPr>
      <w:spacing w:after="0" w:line="240" w:lineRule="auto"/>
    </w:pPr>
    <w:rPr>
      <w:sz w:val="20"/>
      <w:szCs w:val="20"/>
    </w:rPr>
  </w:style>
  <w:style w:type="character" w:customStyle="1" w:styleId="af1">
    <w:name w:val="Текст виноски Знак"/>
    <w:basedOn w:val="a0"/>
    <w:link w:val="af0"/>
    <w:uiPriority w:val="99"/>
    <w:semiHidden/>
    <w:rsid w:val="00E628B1"/>
    <w:rPr>
      <w:sz w:val="20"/>
      <w:szCs w:val="20"/>
    </w:rPr>
  </w:style>
  <w:style w:type="character" w:styleId="af2">
    <w:name w:val="footnote reference"/>
    <w:basedOn w:val="a0"/>
    <w:uiPriority w:val="99"/>
    <w:semiHidden/>
    <w:unhideWhenUsed/>
    <w:rsid w:val="00E628B1"/>
    <w:rPr>
      <w:vertAlign w:val="superscript"/>
    </w:rPr>
  </w:style>
  <w:style w:type="paragraph" w:styleId="af3">
    <w:name w:val="endnote text"/>
    <w:basedOn w:val="a"/>
    <w:link w:val="af4"/>
    <w:uiPriority w:val="99"/>
    <w:semiHidden/>
    <w:unhideWhenUsed/>
    <w:rsid w:val="00FE1E34"/>
    <w:pPr>
      <w:spacing w:after="0" w:line="240" w:lineRule="auto"/>
    </w:pPr>
    <w:rPr>
      <w:sz w:val="20"/>
      <w:szCs w:val="20"/>
    </w:rPr>
  </w:style>
  <w:style w:type="character" w:customStyle="1" w:styleId="af4">
    <w:name w:val="Текст кінцевої виноски Знак"/>
    <w:basedOn w:val="a0"/>
    <w:link w:val="af3"/>
    <w:uiPriority w:val="99"/>
    <w:semiHidden/>
    <w:rsid w:val="00FE1E34"/>
    <w:rPr>
      <w:lang w:eastAsia="en-US"/>
    </w:rPr>
  </w:style>
  <w:style w:type="character" w:styleId="af5">
    <w:name w:val="endnote reference"/>
    <w:basedOn w:val="a0"/>
    <w:uiPriority w:val="99"/>
    <w:semiHidden/>
    <w:unhideWhenUsed/>
    <w:rsid w:val="00FE1E34"/>
    <w:rPr>
      <w:vertAlign w:val="superscript"/>
    </w:rPr>
  </w:style>
  <w:style w:type="paragraph" w:styleId="af6">
    <w:name w:val="caption"/>
    <w:basedOn w:val="a"/>
    <w:next w:val="a"/>
    <w:uiPriority w:val="35"/>
    <w:unhideWhenUsed/>
    <w:qFormat/>
    <w:rsid w:val="00F43659"/>
    <w:pPr>
      <w:spacing w:after="200" w:line="240" w:lineRule="auto"/>
    </w:pPr>
    <w:rPr>
      <w:i/>
      <w:iCs/>
      <w:color w:val="44546A" w:themeColor="text2"/>
      <w:sz w:val="18"/>
      <w:szCs w:val="18"/>
    </w:rPr>
  </w:style>
  <w:style w:type="paragraph" w:styleId="af7">
    <w:name w:val="toa heading"/>
    <w:basedOn w:val="a"/>
    <w:next w:val="a"/>
    <w:uiPriority w:val="99"/>
    <w:semiHidden/>
    <w:unhideWhenUsed/>
    <w:rsid w:val="0051714D"/>
    <w:pPr>
      <w:spacing w:before="120"/>
    </w:pPr>
    <w:rPr>
      <w:rFonts w:asciiTheme="majorHAnsi" w:eastAsiaTheme="majorEastAsia" w:hAnsiTheme="majorHAnsi" w:cstheme="majorBidi"/>
      <w:b/>
      <w:bCs/>
      <w:sz w:val="24"/>
      <w:szCs w:val="24"/>
    </w:rPr>
  </w:style>
  <w:style w:type="character" w:customStyle="1" w:styleId="rvts9">
    <w:name w:val="rvts9"/>
    <w:basedOn w:val="a0"/>
    <w:rsid w:val="00CB3E31"/>
  </w:style>
  <w:style w:type="character" w:styleId="af8">
    <w:name w:val="Hyperlink"/>
    <w:unhideWhenUsed/>
    <w:rsid w:val="00210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21-14"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FDEB-F632-4AF5-8DC4-4FA999B9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30199</Words>
  <Characters>17214</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vt:lpstr>
      <vt:lpstr>Про затвердження 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vt:lpstr>
    </vt:vector>
  </TitlesOfParts>
  <Company>Національний банк України</Company>
  <LinksUpToDate>false</LinksUpToDate>
  <CharactersWithSpaces>47319</CharactersWithSpaces>
  <SharedDoc>false</SharedDoc>
  <HLinks>
    <vt:vector size="6" baseType="variant">
      <vt:variant>
        <vt:i4>6946849</vt:i4>
      </vt:variant>
      <vt:variant>
        <vt:i4>0</vt:i4>
      </vt:variant>
      <vt:variant>
        <vt:i4>0</vt:i4>
      </vt:variant>
      <vt:variant>
        <vt:i4>5</vt:i4>
      </vt:variant>
      <vt:variant>
        <vt:lpwstr>https://zakon.rada.gov.ua/laws/show/2121-14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dc:title>
  <dc:creator>Департамент методології регулювання діяльності небанківських фінансових установ</dc:creator>
  <cp:lastModifiedBy>Савчук Сергій Станіславович</cp:lastModifiedBy>
  <cp:revision>3</cp:revision>
  <cp:lastPrinted>2020-09-01T09:53:00Z</cp:lastPrinted>
  <dcterms:created xsi:type="dcterms:W3CDTF">2020-09-25T06:56:00Z</dcterms:created>
  <dcterms:modified xsi:type="dcterms:W3CDTF">2020-09-25T06:57:00Z</dcterms:modified>
</cp:coreProperties>
</file>