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D2BDC5" w14:textId="77777777" w:rsidR="00FA7846" w:rsidRPr="00B35439" w:rsidRDefault="00FA7846" w:rsidP="00FA7846">
      <w:pPr>
        <w:rPr>
          <w:sz w:val="2"/>
          <w:szCs w:val="2"/>
        </w:rPr>
      </w:pPr>
    </w:p>
    <w:p w14:paraId="08C6E904" w14:textId="77777777" w:rsidR="00657593" w:rsidRPr="00B35439" w:rsidRDefault="00657593" w:rsidP="00657593">
      <w:pPr>
        <w:rPr>
          <w:sz w:val="2"/>
          <w:szCs w:val="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3227"/>
        <w:gridCol w:w="3204"/>
      </w:tblGrid>
      <w:tr w:rsidR="00657593" w:rsidRPr="00B35439" w14:paraId="06F38413" w14:textId="77777777" w:rsidTr="0076159C">
        <w:trPr>
          <w:trHeight w:val="851"/>
        </w:trPr>
        <w:tc>
          <w:tcPr>
            <w:tcW w:w="3284" w:type="dxa"/>
          </w:tcPr>
          <w:p w14:paraId="51E5E5A4" w14:textId="77777777" w:rsidR="00657593" w:rsidRPr="00B35439" w:rsidRDefault="00657593" w:rsidP="0076159C"/>
        </w:tc>
        <w:tc>
          <w:tcPr>
            <w:tcW w:w="3285" w:type="dxa"/>
            <w:vMerge w:val="restart"/>
          </w:tcPr>
          <w:p w14:paraId="7BA79E57" w14:textId="77777777" w:rsidR="00657593" w:rsidRPr="00B35439" w:rsidRDefault="00657593" w:rsidP="0076159C">
            <w:pPr>
              <w:jc w:val="center"/>
            </w:pPr>
            <w:r w:rsidRPr="00B35439">
              <w:object w:dxaOrig="1595" w:dyaOrig="2201" w14:anchorId="7B290F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6.5pt" o:ole="">
                  <v:imagedata r:id="rId12" o:title=""/>
                </v:shape>
                <o:OLEObject Type="Embed" ProgID="CorelDraw.Graphic.16" ShapeID="_x0000_i1025" DrawAspect="Content" ObjectID="_1705214545" r:id="rId13"/>
              </w:object>
            </w:r>
          </w:p>
        </w:tc>
        <w:tc>
          <w:tcPr>
            <w:tcW w:w="3285" w:type="dxa"/>
          </w:tcPr>
          <w:p w14:paraId="687260AC" w14:textId="77777777" w:rsidR="00657593" w:rsidRPr="00B35439" w:rsidRDefault="00657593" w:rsidP="0076159C"/>
        </w:tc>
      </w:tr>
      <w:tr w:rsidR="00657593" w:rsidRPr="00B35439" w14:paraId="0D0B8810" w14:textId="77777777" w:rsidTr="0076159C">
        <w:tc>
          <w:tcPr>
            <w:tcW w:w="3284" w:type="dxa"/>
          </w:tcPr>
          <w:p w14:paraId="471E7B5C" w14:textId="77777777" w:rsidR="00657593" w:rsidRPr="00B35439" w:rsidRDefault="00657593" w:rsidP="0076159C"/>
        </w:tc>
        <w:tc>
          <w:tcPr>
            <w:tcW w:w="3285" w:type="dxa"/>
            <w:vMerge/>
          </w:tcPr>
          <w:p w14:paraId="776F4392" w14:textId="77777777" w:rsidR="00657593" w:rsidRPr="00B35439" w:rsidRDefault="00657593" w:rsidP="0076159C"/>
        </w:tc>
        <w:tc>
          <w:tcPr>
            <w:tcW w:w="3285" w:type="dxa"/>
          </w:tcPr>
          <w:p w14:paraId="02803F5D" w14:textId="77777777" w:rsidR="00657593" w:rsidRPr="00B35439" w:rsidRDefault="00657593" w:rsidP="0076159C"/>
        </w:tc>
      </w:tr>
      <w:tr w:rsidR="00657593" w:rsidRPr="00B35439" w14:paraId="381DD419" w14:textId="77777777" w:rsidTr="0076159C">
        <w:tc>
          <w:tcPr>
            <w:tcW w:w="9854" w:type="dxa"/>
            <w:gridSpan w:val="3"/>
          </w:tcPr>
          <w:p w14:paraId="0E6F86EA" w14:textId="77777777" w:rsidR="00657593" w:rsidRPr="00B35439" w:rsidRDefault="00657593" w:rsidP="0076159C">
            <w:pPr>
              <w:tabs>
                <w:tab w:val="left" w:pos="-3600"/>
              </w:tabs>
              <w:spacing w:before="120" w:after="120"/>
              <w:jc w:val="center"/>
              <w:rPr>
                <w:b/>
                <w:bCs/>
                <w:color w:val="006600"/>
                <w:spacing w:val="10"/>
              </w:rPr>
            </w:pPr>
            <w:r w:rsidRPr="00B35439">
              <w:rPr>
                <w:b/>
                <w:bCs/>
                <w:color w:val="006600"/>
                <w:spacing w:val="10"/>
              </w:rPr>
              <w:t>Правління Національного банку України</w:t>
            </w:r>
          </w:p>
          <w:p w14:paraId="679772D9" w14:textId="77777777" w:rsidR="00657593" w:rsidRPr="00B35439" w:rsidRDefault="00657593" w:rsidP="0076159C">
            <w:pPr>
              <w:jc w:val="center"/>
            </w:pPr>
            <w:r w:rsidRPr="00B35439">
              <w:rPr>
                <w:b/>
                <w:bCs/>
                <w:color w:val="006600"/>
                <w:sz w:val="32"/>
                <w:szCs w:val="32"/>
              </w:rPr>
              <w:t>П О С Т А Н О В А</w:t>
            </w:r>
          </w:p>
        </w:tc>
      </w:tr>
    </w:tbl>
    <w:p w14:paraId="6B5E9C65" w14:textId="77777777" w:rsidR="00657593" w:rsidRPr="00B35439" w:rsidRDefault="00657593" w:rsidP="00657593">
      <w:pPr>
        <w:rPr>
          <w:sz w:val="4"/>
          <w:szCs w:val="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3"/>
        <w:gridCol w:w="2643"/>
        <w:gridCol w:w="1680"/>
        <w:gridCol w:w="1892"/>
      </w:tblGrid>
      <w:tr w:rsidR="00657593" w:rsidRPr="00B35439" w14:paraId="5C190758" w14:textId="77777777" w:rsidTr="0088719C">
        <w:tc>
          <w:tcPr>
            <w:tcW w:w="3510" w:type="dxa"/>
            <w:vAlign w:val="bottom"/>
          </w:tcPr>
          <w:p w14:paraId="27A2BC50" w14:textId="77777777" w:rsidR="00657593" w:rsidRPr="00B35439" w:rsidRDefault="00657593" w:rsidP="0076159C"/>
        </w:tc>
        <w:tc>
          <w:tcPr>
            <w:tcW w:w="2694" w:type="dxa"/>
          </w:tcPr>
          <w:p w14:paraId="291F1903" w14:textId="77777777" w:rsidR="00657593" w:rsidRPr="00B35439" w:rsidRDefault="00657593" w:rsidP="00E62607">
            <w:pPr>
              <w:spacing w:before="240"/>
              <w:jc w:val="center"/>
            </w:pPr>
            <w:r w:rsidRPr="00B35439">
              <w:rPr>
                <w:color w:val="006600"/>
              </w:rPr>
              <w:t>Київ</w:t>
            </w:r>
          </w:p>
        </w:tc>
        <w:tc>
          <w:tcPr>
            <w:tcW w:w="1713" w:type="dxa"/>
            <w:vAlign w:val="bottom"/>
          </w:tcPr>
          <w:p w14:paraId="290F5AAA" w14:textId="77777777" w:rsidR="00657593" w:rsidRPr="00B35439" w:rsidRDefault="00101D5A" w:rsidP="00E62607">
            <w:pPr>
              <w:jc w:val="right"/>
            </w:pPr>
            <w:r w:rsidRPr="00B35439">
              <w:rPr>
                <w:color w:val="FFFFFF" w:themeColor="background1"/>
              </w:rPr>
              <w:t>№</w:t>
            </w:r>
          </w:p>
        </w:tc>
        <w:tc>
          <w:tcPr>
            <w:tcW w:w="1937" w:type="dxa"/>
            <w:vAlign w:val="bottom"/>
          </w:tcPr>
          <w:p w14:paraId="4D15E5AD" w14:textId="77777777" w:rsidR="00657593" w:rsidRPr="00B35439" w:rsidRDefault="00657593" w:rsidP="00290169">
            <w:pPr>
              <w:jc w:val="left"/>
            </w:pPr>
          </w:p>
        </w:tc>
      </w:tr>
    </w:tbl>
    <w:p w14:paraId="473BB195" w14:textId="77777777" w:rsidR="00657593" w:rsidRPr="00B35439" w:rsidRDefault="00657593" w:rsidP="00657593">
      <w:pPr>
        <w:rPr>
          <w:sz w:val="2"/>
          <w:szCs w:val="2"/>
        </w:rPr>
      </w:pPr>
    </w:p>
    <w:p w14:paraId="58186935" w14:textId="77777777" w:rsidR="00E42621" w:rsidRPr="00B35439" w:rsidRDefault="00E42621" w:rsidP="00562C46">
      <w:pPr>
        <w:ind w:firstLine="709"/>
        <w:jc w:val="center"/>
        <w:rPr>
          <w:rFonts w:eastAsiaTheme="minorEastAsia"/>
          <w:color w:val="000000" w:themeColor="text1"/>
          <w:lang w:eastAsia="en-US"/>
        </w:rPr>
      </w:pPr>
    </w:p>
    <w:tbl>
      <w:tblPr>
        <w:tblStyle w:val="a9"/>
        <w:tblW w:w="345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tblGrid>
      <w:tr w:rsidR="002B3F71" w:rsidRPr="00B35439" w14:paraId="13AE2982" w14:textId="77777777" w:rsidTr="005212C5">
        <w:trPr>
          <w:jc w:val="center"/>
        </w:trPr>
        <w:tc>
          <w:tcPr>
            <w:tcW w:w="5000" w:type="pct"/>
          </w:tcPr>
          <w:p w14:paraId="3B890C6B" w14:textId="77777777" w:rsidR="002B3F71" w:rsidRPr="00B35439" w:rsidRDefault="00CD3F38" w:rsidP="00106229">
            <w:pPr>
              <w:tabs>
                <w:tab w:val="left" w:pos="840"/>
                <w:tab w:val="center" w:pos="3293"/>
              </w:tabs>
              <w:spacing w:before="240" w:after="240"/>
              <w:jc w:val="center"/>
              <w:rPr>
                <w:rFonts w:eastAsiaTheme="minorEastAsia"/>
                <w:color w:val="000000" w:themeColor="text1"/>
                <w:lang w:eastAsia="en-US"/>
              </w:rPr>
            </w:pPr>
            <w:r w:rsidRPr="00B35439">
              <w:rPr>
                <w:rFonts w:eastAsia="SimSun"/>
              </w:rPr>
              <w:t>Про затвердження Положення про обов’язкові критерії і нормативи достатності капіталу та платоспроможності, ліквідності, прибутковості, якості активів та ризиковості операцій страховика</w:t>
            </w:r>
          </w:p>
        </w:tc>
      </w:tr>
    </w:tbl>
    <w:p w14:paraId="1B7B2264" w14:textId="77777777" w:rsidR="00E53CCD" w:rsidRPr="00B35439" w:rsidRDefault="00CD3F38" w:rsidP="00E62607">
      <w:pPr>
        <w:spacing w:before="240" w:after="240"/>
        <w:ind w:firstLine="709"/>
        <w:rPr>
          <w:b/>
        </w:rPr>
      </w:pPr>
      <w:r w:rsidRPr="00B35439">
        <w:rPr>
          <w:rFonts w:eastAsia="SimSun"/>
        </w:rPr>
        <w:t>Відповідно до статей 7, 15, 55</w:t>
      </w:r>
      <w:r w:rsidRPr="00B35439">
        <w:rPr>
          <w:rFonts w:eastAsia="SimSun"/>
          <w:vertAlign w:val="superscript"/>
        </w:rPr>
        <w:t>1</w:t>
      </w:r>
      <w:r w:rsidRPr="00B35439">
        <w:rPr>
          <w:rFonts w:eastAsia="SimSun"/>
        </w:rPr>
        <w:t xml:space="preserve">, 56, 58 Закону України “Про Національний банк України”, статей 21, 28 Закону України “Про фінансові послуги та державне регулювання ринків фінансових послуг”, статей 31, 36 Закону України “Про страхування”, з метою встановлення </w:t>
      </w:r>
      <w:r w:rsidRPr="00B35439">
        <w:rPr>
          <w:bCs/>
        </w:rPr>
        <w:t>обов’язкових критеріїв і нормативів достатності капіталу та платоспроможності, ліквідності, прибутковості, якості активів та ризиковості операцій страховика</w:t>
      </w:r>
      <w:r w:rsidR="00FA508E" w:rsidRPr="00B35439">
        <w:rPr>
          <w:b/>
        </w:rPr>
        <w:t xml:space="preserve"> </w:t>
      </w:r>
      <w:r w:rsidR="00115ECF" w:rsidRPr="00B35439">
        <w:t xml:space="preserve">Правління Національного банку </w:t>
      </w:r>
      <w:r w:rsidR="00562C46" w:rsidRPr="00B35439">
        <w:t>України</w:t>
      </w:r>
      <w:r w:rsidR="00562C46" w:rsidRPr="00B35439">
        <w:rPr>
          <w:b/>
        </w:rPr>
        <w:t xml:space="preserve"> </w:t>
      </w:r>
      <w:r w:rsidR="00FA508E" w:rsidRPr="00B35439">
        <w:rPr>
          <w:b/>
        </w:rPr>
        <w:t>постановляє:</w:t>
      </w:r>
    </w:p>
    <w:p w14:paraId="5DE318B7" w14:textId="77777777" w:rsidR="00AD7DF9" w:rsidRPr="00B35439" w:rsidRDefault="00AD7DF9" w:rsidP="00E62607">
      <w:pPr>
        <w:spacing w:before="240" w:after="240"/>
        <w:ind w:firstLine="709"/>
        <w:rPr>
          <w:rFonts w:eastAsiaTheme="minorEastAsia"/>
          <w:noProof/>
          <w:color w:val="000000" w:themeColor="text1"/>
          <w:lang w:eastAsia="en-US"/>
        </w:rPr>
      </w:pPr>
      <w:r w:rsidRPr="00B35439">
        <w:t>1. </w:t>
      </w:r>
      <w:r w:rsidR="00CD3F38" w:rsidRPr="00B35439">
        <w:t xml:space="preserve">Затвердити Положення про </w:t>
      </w:r>
      <w:r w:rsidR="00CD3F38" w:rsidRPr="00B35439">
        <w:rPr>
          <w:bCs/>
        </w:rPr>
        <w:t>обов’язкові критерії і нормативи достатності капіталу та платоспроможності, ліквідності, прибутковості, якості активів та ризиковості операцій страховика (далі – Положення)</w:t>
      </w:r>
      <w:r w:rsidR="00CD3F38" w:rsidRPr="00B35439">
        <w:t>, що додається</w:t>
      </w:r>
      <w:r w:rsidR="00F403A7" w:rsidRPr="00B35439">
        <w:rPr>
          <w:rFonts w:eastAsiaTheme="minorEastAsia"/>
          <w:noProof/>
          <w:color w:val="000000" w:themeColor="text1"/>
          <w:lang w:eastAsia="en-US"/>
        </w:rPr>
        <w:t>.</w:t>
      </w:r>
    </w:p>
    <w:p w14:paraId="6C37FBC5" w14:textId="77777777" w:rsidR="00CD3F38" w:rsidRPr="00B35439" w:rsidRDefault="00AD7DF9" w:rsidP="00E62607">
      <w:pPr>
        <w:spacing w:before="240" w:after="240"/>
        <w:ind w:firstLine="709"/>
        <w:rPr>
          <w:rFonts w:eastAsiaTheme="minorEastAsia"/>
          <w:noProof/>
          <w:lang w:eastAsia="en-US"/>
        </w:rPr>
      </w:pPr>
      <w:r w:rsidRPr="00B35439">
        <w:rPr>
          <w:rFonts w:eastAsiaTheme="minorEastAsia"/>
          <w:noProof/>
          <w:color w:val="000000" w:themeColor="text1"/>
          <w:lang w:eastAsia="en-US"/>
        </w:rPr>
        <w:t>2. </w:t>
      </w:r>
      <w:r w:rsidR="00CD3F38" w:rsidRPr="00B35439">
        <w:rPr>
          <w:rFonts w:eastAsiaTheme="minorEastAsia"/>
          <w:noProof/>
          <w:lang w:eastAsia="en-US"/>
        </w:rPr>
        <w:t>Установити, що:</w:t>
      </w:r>
    </w:p>
    <w:p w14:paraId="3AC2A5DC" w14:textId="2A67ABAD" w:rsidR="00CD3F38" w:rsidRPr="00B35439" w:rsidRDefault="00CD3F38" w:rsidP="00CD3F38">
      <w:pPr>
        <w:spacing w:before="240" w:after="240"/>
        <w:ind w:firstLine="709"/>
        <w:rPr>
          <w:rFonts w:eastAsiaTheme="minorEastAsia"/>
          <w:noProof/>
          <w:lang w:eastAsia="en-US"/>
        </w:rPr>
      </w:pPr>
      <w:r w:rsidRPr="00B35439">
        <w:rPr>
          <w:rFonts w:eastAsiaTheme="minorEastAsia"/>
          <w:noProof/>
          <w:lang w:eastAsia="en-US"/>
        </w:rPr>
        <w:t>1) вимоги абзацу сьомого підпункту 5 пункту 2</w:t>
      </w:r>
      <w:r w:rsidR="004B291D" w:rsidRPr="00B35439">
        <w:rPr>
          <w:rFonts w:eastAsiaTheme="minorEastAsia"/>
          <w:noProof/>
          <w:lang w:eastAsia="en-US"/>
        </w:rPr>
        <w:t>8</w:t>
      </w:r>
      <w:r w:rsidRPr="00B35439">
        <w:rPr>
          <w:rFonts w:eastAsiaTheme="minorEastAsia"/>
          <w:noProof/>
          <w:lang w:eastAsia="en-US"/>
        </w:rPr>
        <w:t>, підпункту 8 пункту 2</w:t>
      </w:r>
      <w:r w:rsidR="004B291D" w:rsidRPr="00B35439">
        <w:rPr>
          <w:rFonts w:eastAsiaTheme="minorEastAsia"/>
          <w:noProof/>
          <w:lang w:eastAsia="en-US"/>
        </w:rPr>
        <w:t>9</w:t>
      </w:r>
      <w:r w:rsidRPr="00B35439">
        <w:rPr>
          <w:rFonts w:eastAsiaTheme="minorEastAsia"/>
          <w:noProof/>
          <w:lang w:eastAsia="en-US"/>
        </w:rPr>
        <w:t xml:space="preserve"> розділу ІV Положення не поширюються на права вимоги до перестраховиків-нерезидентів за договорами перестрахування ризиків щодо договорів страхування життя з фізичними особами, істотними умовами яких є перестрахування ризиків у перестраховика-нерезидента, що були укладені до 01 січня 2005 року включно та продовжать діяти після набрання чинності цією постановою;</w:t>
      </w:r>
    </w:p>
    <w:p w14:paraId="5861B4F9" w14:textId="77777777" w:rsidR="00CD3F38" w:rsidRPr="00B35439" w:rsidRDefault="00CD3F38" w:rsidP="00CD3F38">
      <w:pPr>
        <w:spacing w:before="240"/>
        <w:ind w:firstLine="709"/>
        <w:rPr>
          <w:rFonts w:eastAsiaTheme="minorEastAsia"/>
          <w:noProof/>
          <w:lang w:eastAsia="en-US"/>
        </w:rPr>
      </w:pPr>
      <w:r w:rsidRPr="00B35439">
        <w:rPr>
          <w:rFonts w:eastAsiaTheme="minorEastAsia"/>
          <w:noProof/>
          <w:lang w:eastAsia="en-US"/>
        </w:rPr>
        <w:t>2) норматив платоспроможності та достатності капіталу для страховика, який здійснює або планує здійснювати страхування життя, з дня набрання чинності цією постановою до 31 грудня 2023 року включно установлюється як більша з таких величин:</w:t>
      </w:r>
    </w:p>
    <w:p w14:paraId="37689C4F" w14:textId="77777777" w:rsidR="00CD3F38" w:rsidRPr="00B35439" w:rsidRDefault="00CD3F38" w:rsidP="00CD3F38">
      <w:pPr>
        <w:ind w:firstLine="709"/>
        <w:rPr>
          <w:rFonts w:eastAsiaTheme="minorEastAsia"/>
          <w:noProof/>
          <w:lang w:eastAsia="en-US"/>
        </w:rPr>
      </w:pPr>
      <w:r w:rsidRPr="00B35439">
        <w:rPr>
          <w:rFonts w:eastAsiaTheme="minorEastAsia"/>
          <w:noProof/>
          <w:lang w:eastAsia="en-US"/>
        </w:rPr>
        <w:t>45 млн грн;</w:t>
      </w:r>
    </w:p>
    <w:p w14:paraId="43415319" w14:textId="77777777" w:rsidR="00CD3F38" w:rsidRPr="00B35439" w:rsidRDefault="00CD3F38" w:rsidP="00CD3F38">
      <w:pPr>
        <w:spacing w:after="240"/>
        <w:ind w:firstLine="709"/>
        <w:rPr>
          <w:rFonts w:eastAsiaTheme="minorEastAsia"/>
          <w:noProof/>
          <w:lang w:eastAsia="en-US"/>
        </w:rPr>
      </w:pPr>
      <w:r w:rsidRPr="00B35439">
        <w:rPr>
          <w:rFonts w:eastAsiaTheme="minorEastAsia"/>
          <w:noProof/>
          <w:lang w:eastAsia="en-US"/>
        </w:rPr>
        <w:t xml:space="preserve">нормативний запас платоспроможності (далі – НЗП), який визначається страховиком відповідно до статті 30 Закону України </w:t>
      </w:r>
      <w:r w:rsidRPr="00B35439">
        <w:rPr>
          <w:rFonts w:eastAsia="SimSun"/>
        </w:rPr>
        <w:t>“Про страхування”</w:t>
      </w:r>
      <w:r w:rsidRPr="00B35439">
        <w:rPr>
          <w:rFonts w:eastAsiaTheme="minorEastAsia"/>
          <w:noProof/>
          <w:lang w:eastAsia="en-US"/>
        </w:rPr>
        <w:t>;</w:t>
      </w:r>
    </w:p>
    <w:p w14:paraId="3C1DBC1A" w14:textId="77777777" w:rsidR="00CD3F38" w:rsidRPr="00B35439" w:rsidRDefault="00CD3F38" w:rsidP="00CD3F38">
      <w:pPr>
        <w:ind w:firstLine="709"/>
        <w:rPr>
          <w:rFonts w:eastAsiaTheme="minorEastAsia"/>
          <w:noProof/>
          <w:lang w:eastAsia="en-US"/>
        </w:rPr>
      </w:pPr>
    </w:p>
    <w:p w14:paraId="5BC5F900" w14:textId="77777777" w:rsidR="00CD3F38" w:rsidRPr="00B35439" w:rsidRDefault="00CD3F38" w:rsidP="00CD3F38">
      <w:pPr>
        <w:ind w:firstLine="709"/>
        <w:rPr>
          <w:rFonts w:eastAsiaTheme="minorEastAsia"/>
          <w:noProof/>
          <w:lang w:eastAsia="en-US"/>
        </w:rPr>
      </w:pPr>
      <w:r w:rsidRPr="00B35439">
        <w:rPr>
          <w:rFonts w:eastAsiaTheme="minorEastAsia"/>
          <w:noProof/>
          <w:lang w:eastAsia="en-US"/>
        </w:rPr>
        <w:t>3) норматив платоспроможності та достатності капіталу для страховика, який здійснює або планує здійснювати страхування інше, ніж страхування життя, з дня набрання чинності цією постановою до 31 грудня 2023 року включно установлюється як більша з таких величин:</w:t>
      </w:r>
    </w:p>
    <w:p w14:paraId="54EE60BF" w14:textId="77777777" w:rsidR="00CD3F38" w:rsidRPr="00B35439" w:rsidRDefault="00CD3F38" w:rsidP="00CD3F38">
      <w:pPr>
        <w:ind w:firstLine="709"/>
        <w:rPr>
          <w:rFonts w:eastAsiaTheme="minorEastAsia"/>
          <w:noProof/>
          <w:lang w:eastAsia="en-US"/>
        </w:rPr>
      </w:pPr>
      <w:r w:rsidRPr="00B35439">
        <w:rPr>
          <w:rFonts w:eastAsiaTheme="minorEastAsia"/>
          <w:noProof/>
          <w:lang w:eastAsia="en-US"/>
        </w:rPr>
        <w:t>30 млн грн;</w:t>
      </w:r>
    </w:p>
    <w:p w14:paraId="580260DE" w14:textId="090F39FA" w:rsidR="00CD3F38" w:rsidRPr="00B35439" w:rsidRDefault="00CD3F38" w:rsidP="00CD3F38">
      <w:pPr>
        <w:spacing w:after="240"/>
        <w:ind w:firstLine="709"/>
        <w:rPr>
          <w:rFonts w:eastAsiaTheme="minorEastAsia"/>
          <w:noProof/>
          <w:lang w:eastAsia="en-US"/>
        </w:rPr>
      </w:pPr>
      <w:r w:rsidRPr="00B35439">
        <w:rPr>
          <w:rFonts w:eastAsiaTheme="minorEastAsia"/>
          <w:noProof/>
          <w:lang w:eastAsia="en-US"/>
        </w:rPr>
        <w:t xml:space="preserve">НЗП, який визначається </w:t>
      </w:r>
      <w:r w:rsidR="00913400" w:rsidRPr="00B35439">
        <w:rPr>
          <w:rFonts w:eastAsiaTheme="minorEastAsia"/>
          <w:noProof/>
          <w:lang w:eastAsia="en-US"/>
        </w:rPr>
        <w:t>згідно з</w:t>
      </w:r>
      <w:r w:rsidR="001156A4">
        <w:rPr>
          <w:rFonts w:eastAsiaTheme="minorEastAsia"/>
          <w:noProof/>
          <w:lang w:eastAsia="en-US"/>
        </w:rPr>
        <w:t xml:space="preserve"> </w:t>
      </w:r>
      <w:r w:rsidR="006E5313" w:rsidRPr="00B35439">
        <w:rPr>
          <w:lang w:eastAsia="en-US"/>
        </w:rPr>
        <w:t xml:space="preserve">порядком визначення нормативного запасу платоспроможності </w:t>
      </w:r>
      <w:r w:rsidR="006E5313" w:rsidRPr="00B35439">
        <w:rPr>
          <w:rFonts w:eastAsiaTheme="majorEastAsia"/>
          <w:lang w:eastAsia="en-US"/>
        </w:rPr>
        <w:t>для страховика, який здійснює або планує здійснювати страхування інше, ніж страхування життя, встановленим у</w:t>
      </w:r>
      <w:r w:rsidR="006E5313" w:rsidRPr="00B35439">
        <w:rPr>
          <w:rFonts w:eastAsiaTheme="minorEastAsia"/>
          <w:noProof/>
          <w:lang w:eastAsia="en-US"/>
        </w:rPr>
        <w:t xml:space="preserve"> </w:t>
      </w:r>
      <w:r w:rsidRPr="00B35439">
        <w:rPr>
          <w:rFonts w:eastAsiaTheme="minorEastAsia"/>
          <w:noProof/>
          <w:lang w:eastAsia="en-US"/>
        </w:rPr>
        <w:t xml:space="preserve">додатку </w:t>
      </w:r>
      <w:r w:rsidR="007C4D38" w:rsidRPr="00B35439">
        <w:rPr>
          <w:rFonts w:eastAsiaTheme="minorEastAsia"/>
          <w:noProof/>
          <w:lang w:eastAsia="en-US"/>
        </w:rPr>
        <w:t xml:space="preserve">2 </w:t>
      </w:r>
      <w:r w:rsidRPr="00B35439">
        <w:rPr>
          <w:rFonts w:eastAsiaTheme="minorEastAsia"/>
          <w:noProof/>
          <w:lang w:eastAsia="en-US"/>
        </w:rPr>
        <w:t>до Положення</w:t>
      </w:r>
      <w:r w:rsidR="006E5313" w:rsidRPr="00B35439">
        <w:rPr>
          <w:rFonts w:eastAsiaTheme="minorEastAsia"/>
          <w:noProof/>
          <w:lang w:eastAsia="en-US"/>
        </w:rPr>
        <w:t>;</w:t>
      </w:r>
    </w:p>
    <w:p w14:paraId="6E4B0A8C" w14:textId="6631C2EB" w:rsidR="00CD3F38" w:rsidRPr="00B35439" w:rsidRDefault="00CD3F38" w:rsidP="00CD3F38">
      <w:pPr>
        <w:spacing w:before="240" w:after="240"/>
        <w:ind w:firstLine="709"/>
        <w:rPr>
          <w:rFonts w:eastAsiaTheme="minorEastAsia"/>
          <w:noProof/>
          <w:lang w:eastAsia="en-US"/>
        </w:rPr>
      </w:pPr>
      <w:r w:rsidRPr="00B35439">
        <w:rPr>
          <w:rFonts w:eastAsiaTheme="minorEastAsia"/>
          <w:noProof/>
          <w:lang w:eastAsia="en-US"/>
        </w:rPr>
        <w:t>4) непрострочена дебіторська заборгованість за укладеними договорами страхування та вхідного перестрахування з виду страхування, не зазначеного у підпунктах 1, 2 пункту 1</w:t>
      </w:r>
      <w:r w:rsidR="004B291D" w:rsidRPr="00B35439">
        <w:rPr>
          <w:rFonts w:eastAsiaTheme="minorEastAsia"/>
          <w:noProof/>
          <w:lang w:eastAsia="en-US"/>
        </w:rPr>
        <w:t>5</w:t>
      </w:r>
      <w:r w:rsidRPr="00B35439">
        <w:rPr>
          <w:rFonts w:eastAsiaTheme="minorEastAsia"/>
          <w:noProof/>
          <w:lang w:eastAsia="en-US"/>
        </w:rPr>
        <w:t xml:space="preserve"> розділу ІІ Положення, з дня набрання чинності цією постановою до 31 грудня 2023 року включно враховується до суми прийнятних активів в обсязі не більше 40 відсотків резервів незароблених премій за відповідними видами страхування;</w:t>
      </w:r>
    </w:p>
    <w:p w14:paraId="4FE09E43" w14:textId="77777777" w:rsidR="00AD7DF9" w:rsidRPr="00B35439" w:rsidRDefault="00CD3F38" w:rsidP="00CD3F38">
      <w:pPr>
        <w:spacing w:before="240" w:after="240"/>
        <w:ind w:firstLine="709"/>
        <w:rPr>
          <w:rFonts w:eastAsiaTheme="minorEastAsia"/>
          <w:noProof/>
          <w:color w:val="000000" w:themeColor="text1"/>
          <w:lang w:eastAsia="en-US"/>
        </w:rPr>
      </w:pPr>
      <w:r w:rsidRPr="00B35439">
        <w:rPr>
          <w:rFonts w:eastAsiaTheme="minorEastAsia"/>
          <w:noProof/>
          <w:lang w:eastAsia="en-US"/>
        </w:rPr>
        <w:t>5) непрострочена дебіторська заборгованість за укладеними договорами вихідного перестрахування з перестраховиками-резидентами з дня набрання чинності цією постановою до 31 грудня 2023 року включно враховується до суми прийнятних активів в обсязі не більше 20 відсотків такої дебіторської заборгованості</w:t>
      </w:r>
      <w:r w:rsidR="00F403A7" w:rsidRPr="00B35439">
        <w:rPr>
          <w:rFonts w:eastAsiaTheme="minorEastAsia"/>
          <w:noProof/>
          <w:color w:val="000000" w:themeColor="text1"/>
          <w:lang w:eastAsia="en-US"/>
        </w:rPr>
        <w:t>.</w:t>
      </w:r>
    </w:p>
    <w:p w14:paraId="77243E7D" w14:textId="51F18E72" w:rsidR="00AD7DF9" w:rsidRPr="00B35439" w:rsidRDefault="00AD7DF9" w:rsidP="00E62607">
      <w:pPr>
        <w:spacing w:before="240" w:after="240"/>
        <w:ind w:firstLine="709"/>
        <w:rPr>
          <w:rFonts w:eastAsiaTheme="minorEastAsia"/>
          <w:noProof/>
          <w:color w:val="000000" w:themeColor="text1"/>
          <w:lang w:eastAsia="en-US"/>
        </w:rPr>
      </w:pPr>
      <w:r w:rsidRPr="00B35439">
        <w:rPr>
          <w:rFonts w:eastAsiaTheme="minorEastAsia"/>
          <w:noProof/>
          <w:color w:val="000000" w:themeColor="text1"/>
          <w:lang w:eastAsia="en-US"/>
        </w:rPr>
        <w:t>3. </w:t>
      </w:r>
      <w:r w:rsidR="00CD3F38" w:rsidRPr="00B35439">
        <w:t xml:space="preserve">Пункт 33 додатка до постанови Правління Національного банку України від 25 червня 2020 року № 85 “Про забезпечення здійснення повноважень та виконання функцій з державного регулювання та нагляду у сфері ринків фінансових послуг з питань нагляду за діяльністю учасників ринків фінансових послуг” </w:t>
      </w:r>
      <w:r w:rsidR="001156A4">
        <w:t xml:space="preserve">(зі змінами) </w:t>
      </w:r>
      <w:r w:rsidR="00CD3F38" w:rsidRPr="00B35439">
        <w:t>виключити</w:t>
      </w:r>
      <w:r w:rsidR="00F403A7" w:rsidRPr="00B35439">
        <w:rPr>
          <w:rFonts w:eastAsiaTheme="minorEastAsia"/>
          <w:noProof/>
          <w:color w:val="000000" w:themeColor="text1"/>
          <w:lang w:eastAsia="en-US"/>
        </w:rPr>
        <w:t>.</w:t>
      </w:r>
    </w:p>
    <w:p w14:paraId="447E2C8F" w14:textId="77777777" w:rsidR="00CD3F38" w:rsidRPr="00B35439" w:rsidRDefault="00AD7DF9" w:rsidP="00AD7DF9">
      <w:pPr>
        <w:spacing w:before="240" w:after="240"/>
        <w:ind w:firstLine="709"/>
        <w:rPr>
          <w:rFonts w:eastAsiaTheme="minorEastAsia"/>
          <w:noProof/>
          <w:lang w:eastAsia="en-US"/>
        </w:rPr>
      </w:pPr>
      <w:r w:rsidRPr="00B35439">
        <w:rPr>
          <w:rFonts w:eastAsiaTheme="minorEastAsia"/>
          <w:noProof/>
          <w:color w:val="000000" w:themeColor="text1"/>
          <w:lang w:eastAsia="en-US"/>
        </w:rPr>
        <w:t>4. </w:t>
      </w:r>
      <w:r w:rsidR="00CD3F38" w:rsidRPr="00B35439">
        <w:rPr>
          <w:rFonts w:eastAsiaTheme="minorEastAsia"/>
          <w:noProof/>
          <w:lang w:eastAsia="en-US"/>
        </w:rPr>
        <w:t>Визнати такими, що втратили чинність:</w:t>
      </w:r>
    </w:p>
    <w:p w14:paraId="37803A33" w14:textId="77777777" w:rsidR="00CD3F38" w:rsidRPr="00B35439" w:rsidRDefault="00CD3F38" w:rsidP="00CD3F38">
      <w:pPr>
        <w:spacing w:before="240" w:after="240"/>
        <w:ind w:firstLine="709"/>
        <w:rPr>
          <w:rFonts w:eastAsiaTheme="minorEastAsia"/>
          <w:noProof/>
          <w:lang w:eastAsia="en-US"/>
        </w:rPr>
      </w:pPr>
      <w:r w:rsidRPr="00B35439">
        <w:rPr>
          <w:rFonts w:eastAsiaTheme="minorEastAsia"/>
          <w:noProof/>
          <w:lang w:eastAsia="en-US"/>
        </w:rPr>
        <w:t>1) розпорядження Національної комісії, що здійснює державне регулювання у сфері ринків фінансових послуг, від 07 червня 2018 року № 850 “Про затвердження Положення про обов’язкові критерії і нормативи достатності капіталу та платоспроможності, ліквідності, прибутковості, якості активів та ризиковості операцій страховика”, зареєстроване в Міністерстві юстиції України 06 липня 2018 року за № 782/32234;</w:t>
      </w:r>
    </w:p>
    <w:p w14:paraId="4D457E9C" w14:textId="77777777" w:rsidR="00CD3F38" w:rsidRPr="00B35439" w:rsidRDefault="00CD3F38" w:rsidP="00CD3F38">
      <w:pPr>
        <w:spacing w:before="240" w:after="240"/>
        <w:ind w:firstLine="709"/>
        <w:rPr>
          <w:rFonts w:eastAsiaTheme="minorEastAsia"/>
          <w:noProof/>
          <w:lang w:eastAsia="en-US"/>
        </w:rPr>
      </w:pPr>
      <w:r w:rsidRPr="00B35439">
        <w:rPr>
          <w:rFonts w:eastAsiaTheme="minorEastAsia"/>
          <w:noProof/>
          <w:lang w:eastAsia="en-US"/>
        </w:rPr>
        <w:t xml:space="preserve">2) розпорядження Національної комісії, що здійснює державне регулювання у сфері ринків фінансових послуг, від 03 січня 2019 року № 1 “Про затвердження Змін до Положення про обов’язкові критерії і нормативи достатності капіталу та платоспроможності, ліквідності, прибутковості, якості </w:t>
      </w:r>
      <w:r w:rsidRPr="00B35439">
        <w:rPr>
          <w:rFonts w:eastAsiaTheme="minorEastAsia"/>
          <w:noProof/>
          <w:lang w:eastAsia="en-US"/>
        </w:rPr>
        <w:lastRenderedPageBreak/>
        <w:t>активів та ризиковості операцій страховика”, зареєстроване в Міністерстві юстиції України 31 січня 2019 року за № 122/33093;</w:t>
      </w:r>
    </w:p>
    <w:p w14:paraId="7E16F678" w14:textId="77777777" w:rsidR="00AD7DF9" w:rsidRPr="00B35439" w:rsidRDefault="00CD3F38" w:rsidP="00CD3F38">
      <w:pPr>
        <w:spacing w:before="240" w:after="240"/>
        <w:ind w:firstLine="709"/>
        <w:rPr>
          <w:rFonts w:eastAsiaTheme="minorEastAsia"/>
          <w:noProof/>
          <w:color w:val="000000" w:themeColor="text1"/>
          <w:lang w:eastAsia="en-US"/>
        </w:rPr>
      </w:pPr>
      <w:r w:rsidRPr="00B35439">
        <w:rPr>
          <w:rFonts w:eastAsiaTheme="minorEastAsia"/>
          <w:noProof/>
          <w:lang w:eastAsia="en-US"/>
        </w:rPr>
        <w:t>3) розпорядження Національної комісії, що здійснює державне регулювання у сфері ринків фінансових послуг, від 08 серпня 2019 року № 1511 “Про затвердження Змін до Положення про обов’язкові критерії і нормативи достатності капіталу та платоспроможності, ліквідності, прибутковості, якості активів та ризиковості операцій страховика”, зареєстроване в Міністерстві юстиції України 24 жовтня 2019 року за № 1131/34102</w:t>
      </w:r>
      <w:r w:rsidR="00F403A7" w:rsidRPr="00B35439">
        <w:rPr>
          <w:rFonts w:eastAsiaTheme="minorEastAsia"/>
          <w:noProof/>
          <w:color w:val="000000" w:themeColor="text1"/>
          <w:lang w:eastAsia="en-US"/>
        </w:rPr>
        <w:t>.</w:t>
      </w:r>
    </w:p>
    <w:p w14:paraId="51FA4497" w14:textId="18BA51EC" w:rsidR="003D6B33" w:rsidRPr="00B35439" w:rsidRDefault="003D6B33" w:rsidP="00AD7DF9">
      <w:pPr>
        <w:spacing w:before="240" w:after="240"/>
        <w:ind w:firstLine="709"/>
        <w:rPr>
          <w:rFonts w:eastAsiaTheme="minorEastAsia"/>
          <w:noProof/>
          <w:color w:val="000000" w:themeColor="text1"/>
          <w:lang w:eastAsia="en-US"/>
        </w:rPr>
      </w:pPr>
      <w:r w:rsidRPr="00B35439">
        <w:rPr>
          <w:rFonts w:eastAsiaTheme="minorEastAsia"/>
          <w:noProof/>
          <w:color w:val="000000" w:themeColor="text1"/>
          <w:lang w:eastAsia="en-US"/>
        </w:rPr>
        <w:t>5. </w:t>
      </w:r>
      <w:r w:rsidR="00CD3F38" w:rsidRPr="00B35439">
        <w:rPr>
          <w:bCs/>
        </w:rPr>
        <w:t>Постанова набирає чинності з 30 вересня 2022 року, крім пунктів 1</w:t>
      </w:r>
      <w:r w:rsidR="004B291D" w:rsidRPr="00B35439">
        <w:rPr>
          <w:bCs/>
        </w:rPr>
        <w:t>6</w:t>
      </w:r>
      <w:r w:rsidR="00CD3F38" w:rsidRPr="00B35439">
        <w:rPr>
          <w:bCs/>
        </w:rPr>
        <w:t xml:space="preserve">, </w:t>
      </w:r>
      <w:r w:rsidR="004B291D" w:rsidRPr="00B35439">
        <w:rPr>
          <w:bCs/>
        </w:rPr>
        <w:t>20</w:t>
      </w:r>
      <w:r w:rsidR="00CD3F38" w:rsidRPr="00B35439">
        <w:rPr>
          <w:bCs/>
        </w:rPr>
        <w:t xml:space="preserve"> розділу ІІ, пункту 2</w:t>
      </w:r>
      <w:r w:rsidR="004B291D" w:rsidRPr="00B35439">
        <w:rPr>
          <w:bCs/>
        </w:rPr>
        <w:t>1</w:t>
      </w:r>
      <w:r w:rsidR="00CD3F38" w:rsidRPr="00B35439">
        <w:rPr>
          <w:bCs/>
        </w:rPr>
        <w:t>, підпункту 1 пункту 2</w:t>
      </w:r>
      <w:r w:rsidR="004B291D" w:rsidRPr="00B35439">
        <w:rPr>
          <w:bCs/>
        </w:rPr>
        <w:t>2</w:t>
      </w:r>
      <w:r w:rsidR="00CD3F38" w:rsidRPr="00B35439">
        <w:rPr>
          <w:bCs/>
        </w:rPr>
        <w:t xml:space="preserve"> розділу ІІІ, підпункту 2 пункту 2</w:t>
      </w:r>
      <w:r w:rsidR="004B291D" w:rsidRPr="00B35439">
        <w:rPr>
          <w:bCs/>
        </w:rPr>
        <w:t>7</w:t>
      </w:r>
      <w:r w:rsidR="00CD3F38" w:rsidRPr="00B35439">
        <w:rPr>
          <w:bCs/>
        </w:rPr>
        <w:t xml:space="preserve"> розділу IV Положення, які набирають чинності з </w:t>
      </w:r>
      <w:r w:rsidR="00341185">
        <w:rPr>
          <w:bCs/>
        </w:rPr>
        <w:t>0</w:t>
      </w:r>
      <w:r w:rsidR="00CD3F38" w:rsidRPr="00B35439">
        <w:rPr>
          <w:bCs/>
        </w:rPr>
        <w:t>1 січня 2024 року</w:t>
      </w:r>
      <w:r w:rsidR="00F403A7" w:rsidRPr="00B35439">
        <w:rPr>
          <w:rFonts w:eastAsiaTheme="minorEastAsia"/>
          <w:noProof/>
          <w:color w:val="000000" w:themeColor="text1"/>
          <w:lang w:eastAsia="en-US"/>
        </w:rPr>
        <w:t>.</w:t>
      </w:r>
    </w:p>
    <w:p w14:paraId="09263D62" w14:textId="77777777" w:rsidR="00AD7DF9" w:rsidRPr="00B35439" w:rsidRDefault="00AD7DF9" w:rsidP="00AD7DF9">
      <w:pPr>
        <w:pStyle w:val="af3"/>
        <w:spacing w:before="240" w:after="120"/>
        <w:ind w:left="0" w:firstLine="709"/>
        <w:rPr>
          <w:rFonts w:eastAsiaTheme="minorEastAsia"/>
          <w:noProof/>
          <w:color w:val="000000" w:themeColor="text1"/>
          <w:lang w:eastAsia="en-US"/>
        </w:rPr>
      </w:pPr>
    </w:p>
    <w:p w14:paraId="1B0D9AFE" w14:textId="77777777" w:rsidR="00E42621" w:rsidRPr="00B35439" w:rsidRDefault="00E42621" w:rsidP="00D46BE1">
      <w:pPr>
        <w:spacing w:after="120"/>
      </w:pPr>
    </w:p>
    <w:p w14:paraId="73FFB333" w14:textId="77777777" w:rsidR="0095741D" w:rsidRPr="00B35439" w:rsidRDefault="0095741D" w:rsidP="00D46BE1">
      <w:pPr>
        <w:spacing w:after="120"/>
      </w:pPr>
    </w:p>
    <w:tbl>
      <w:tblPr>
        <w:tblStyle w:val="a9"/>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252"/>
      </w:tblGrid>
      <w:tr w:rsidR="00DD60CC" w:rsidRPr="00B35439" w14:paraId="3D472175" w14:textId="77777777" w:rsidTr="00736C98">
        <w:tc>
          <w:tcPr>
            <w:tcW w:w="5387" w:type="dxa"/>
            <w:vAlign w:val="bottom"/>
          </w:tcPr>
          <w:p w14:paraId="338A9CD2" w14:textId="77777777" w:rsidR="00DD60CC" w:rsidRPr="00B35439" w:rsidRDefault="00CD3F38" w:rsidP="00337368">
            <w:pPr>
              <w:autoSpaceDE w:val="0"/>
              <w:autoSpaceDN w:val="0"/>
              <w:jc w:val="left"/>
            </w:pPr>
            <w:r w:rsidRPr="00B35439">
              <w:rPr>
                <w:rFonts w:eastAsia="SimSun"/>
              </w:rPr>
              <w:t>Голова</w:t>
            </w:r>
          </w:p>
        </w:tc>
        <w:tc>
          <w:tcPr>
            <w:tcW w:w="4252" w:type="dxa"/>
            <w:vAlign w:val="bottom"/>
          </w:tcPr>
          <w:p w14:paraId="67AEF057" w14:textId="77777777" w:rsidR="00DD60CC" w:rsidRPr="00B35439" w:rsidRDefault="00CD3F38" w:rsidP="00941A83">
            <w:pPr>
              <w:tabs>
                <w:tab w:val="left" w:pos="7020"/>
                <w:tab w:val="left" w:pos="7200"/>
              </w:tabs>
              <w:autoSpaceDE w:val="0"/>
              <w:autoSpaceDN w:val="0"/>
              <w:ind w:left="32"/>
              <w:jc w:val="right"/>
            </w:pPr>
            <w:r w:rsidRPr="00B35439">
              <w:rPr>
                <w:rFonts w:eastAsia="SimSun"/>
              </w:rPr>
              <w:t>Кирило ШЕВЧЕНКО</w:t>
            </w:r>
          </w:p>
        </w:tc>
      </w:tr>
    </w:tbl>
    <w:p w14:paraId="6CDB55E6" w14:textId="77777777" w:rsidR="008D10FD" w:rsidRPr="00B35439" w:rsidRDefault="008D10FD" w:rsidP="00E53CCD"/>
    <w:p w14:paraId="357B54F0" w14:textId="77777777" w:rsidR="00FA508E" w:rsidRPr="00B35439" w:rsidRDefault="00FA508E" w:rsidP="00E53CCD"/>
    <w:p w14:paraId="577642BE" w14:textId="77777777" w:rsidR="00FA508E" w:rsidRPr="00B35439" w:rsidRDefault="00FA508E" w:rsidP="00FA508E">
      <w:pPr>
        <w:jc w:val="left"/>
      </w:pPr>
      <w:r w:rsidRPr="00B35439">
        <w:t>Інд.</w:t>
      </w:r>
      <w:r w:rsidRPr="00B35439">
        <w:rPr>
          <w:sz w:val="22"/>
          <w:szCs w:val="22"/>
        </w:rPr>
        <w:t xml:space="preserve"> </w:t>
      </w:r>
      <w:r w:rsidR="00CD3F38" w:rsidRPr="00B35439">
        <w:t>33</w:t>
      </w:r>
    </w:p>
    <w:p w14:paraId="6EEB5EC5" w14:textId="77777777" w:rsidR="00CD3F38" w:rsidRPr="00B35439" w:rsidRDefault="00CD3F38" w:rsidP="00FA508E">
      <w:pPr>
        <w:jc w:val="left"/>
      </w:pPr>
    </w:p>
    <w:p w14:paraId="569F8D0C" w14:textId="77777777" w:rsidR="00CD3F38" w:rsidRPr="00B35439" w:rsidRDefault="00CD3F38" w:rsidP="00CD3F38">
      <w:pPr>
        <w:widowControl w:val="0"/>
        <w:jc w:val="left"/>
      </w:pPr>
      <w:r w:rsidRPr="00B35439">
        <w:t>Аркуші погодження додаються.</w:t>
      </w:r>
    </w:p>
    <w:p w14:paraId="41F2EB56" w14:textId="77777777" w:rsidR="00CD3F38" w:rsidRPr="00B35439" w:rsidRDefault="00CD3F38" w:rsidP="00CD3F38">
      <w:pPr>
        <w:spacing w:after="200" w:line="276" w:lineRule="auto"/>
        <w:jc w:val="left"/>
        <w:sectPr w:rsidR="00CD3F38" w:rsidRPr="00B35439" w:rsidSect="0076159C">
          <w:headerReference w:type="default" r:id="rId14"/>
          <w:pgSz w:w="11906" w:h="16838" w:code="9"/>
          <w:pgMar w:top="567" w:right="567" w:bottom="1701" w:left="1701" w:header="567" w:footer="567" w:gutter="0"/>
          <w:pgNumType w:start="1"/>
          <w:cols w:space="708"/>
          <w:titlePg/>
          <w:docGrid w:linePitch="381"/>
        </w:sectPr>
      </w:pPr>
    </w:p>
    <w:p w14:paraId="1F3B2440" w14:textId="77777777" w:rsidR="00CD3F38" w:rsidRPr="00B35439" w:rsidRDefault="00CD3F38" w:rsidP="00CD3F38">
      <w:pPr>
        <w:spacing w:after="200" w:line="276" w:lineRule="auto"/>
        <w:jc w:val="left"/>
      </w:pPr>
    </w:p>
    <w:p w14:paraId="3AEA7534" w14:textId="77777777" w:rsidR="00CD3F38" w:rsidRPr="00B35439" w:rsidRDefault="00CD3F38" w:rsidP="00CD3F38">
      <w:pPr>
        <w:widowControl w:val="0"/>
        <w:ind w:left="5954"/>
        <w:rPr>
          <w:rFonts w:eastAsia="Calibri"/>
          <w:caps/>
        </w:rPr>
      </w:pPr>
      <w:r w:rsidRPr="00B35439">
        <w:rPr>
          <w:rFonts w:eastAsia="Calibri"/>
          <w:caps/>
        </w:rPr>
        <w:t>затверджено</w:t>
      </w:r>
    </w:p>
    <w:p w14:paraId="4F9F3072" w14:textId="77777777" w:rsidR="00CD3F38" w:rsidRPr="00B35439" w:rsidRDefault="00CD3F38" w:rsidP="00CD3F38">
      <w:pPr>
        <w:widowControl w:val="0"/>
        <w:ind w:left="5954"/>
        <w:jc w:val="left"/>
        <w:rPr>
          <w:bCs/>
        </w:rPr>
      </w:pPr>
      <w:r w:rsidRPr="00B35439">
        <w:rPr>
          <w:rFonts w:eastAsia="Calibri"/>
        </w:rPr>
        <w:t xml:space="preserve">Постанова Правління </w:t>
      </w:r>
      <w:r w:rsidRPr="00B35439">
        <w:rPr>
          <w:rFonts w:eastAsia="Calibri"/>
        </w:rPr>
        <w:br/>
        <w:t>Національного банку України</w:t>
      </w:r>
      <w:r w:rsidRPr="00B35439">
        <w:rPr>
          <w:rFonts w:eastAsia="Calibri"/>
        </w:rPr>
        <w:br/>
      </w:r>
    </w:p>
    <w:p w14:paraId="2912561D" w14:textId="77777777" w:rsidR="00CD3F38" w:rsidRPr="00B35439" w:rsidRDefault="00CD3F38" w:rsidP="00CD3F38">
      <w:pPr>
        <w:widowControl w:val="0"/>
        <w:shd w:val="clear" w:color="auto" w:fill="FFFFFF"/>
        <w:ind w:firstLine="709"/>
        <w:jc w:val="center"/>
        <w:rPr>
          <w:bCs/>
          <w:lang w:eastAsia="en-US"/>
        </w:rPr>
      </w:pPr>
    </w:p>
    <w:p w14:paraId="3F7E6210" w14:textId="77777777" w:rsidR="00CD3F38" w:rsidRPr="00B35439" w:rsidRDefault="00CD3F38" w:rsidP="00CD3F38">
      <w:pPr>
        <w:widowControl w:val="0"/>
        <w:shd w:val="clear" w:color="auto" w:fill="FFFFFF"/>
        <w:ind w:firstLine="709"/>
        <w:jc w:val="center"/>
        <w:rPr>
          <w:bCs/>
          <w:lang w:eastAsia="en-US"/>
        </w:rPr>
      </w:pPr>
    </w:p>
    <w:p w14:paraId="6E84DD3F" w14:textId="77777777" w:rsidR="00CD3F38" w:rsidRPr="00B35439" w:rsidRDefault="00CD3F38" w:rsidP="00CD3F38">
      <w:pPr>
        <w:widowControl w:val="0"/>
        <w:shd w:val="clear" w:color="auto" w:fill="FFFFFF"/>
        <w:ind w:firstLine="709"/>
        <w:jc w:val="center"/>
        <w:rPr>
          <w:bCs/>
          <w:lang w:eastAsia="en-US"/>
        </w:rPr>
      </w:pPr>
    </w:p>
    <w:p w14:paraId="7A28A721" w14:textId="77777777" w:rsidR="00CD3F38" w:rsidRPr="00B35439" w:rsidRDefault="00CD3F38" w:rsidP="00CD3F38">
      <w:pPr>
        <w:widowControl w:val="0"/>
        <w:shd w:val="clear" w:color="auto" w:fill="FFFFFF"/>
        <w:ind w:firstLine="709"/>
        <w:jc w:val="center"/>
        <w:rPr>
          <w:bCs/>
          <w:lang w:eastAsia="en-US"/>
        </w:rPr>
      </w:pPr>
    </w:p>
    <w:p w14:paraId="04A096E7" w14:textId="77777777" w:rsidR="00CD3F38" w:rsidRPr="00B35439" w:rsidRDefault="00CD3F38" w:rsidP="00CD3F38">
      <w:pPr>
        <w:widowControl w:val="0"/>
        <w:shd w:val="clear" w:color="auto" w:fill="FFFFFF"/>
        <w:ind w:firstLine="709"/>
        <w:jc w:val="center"/>
        <w:rPr>
          <w:bCs/>
          <w:lang w:eastAsia="en-US"/>
        </w:rPr>
      </w:pPr>
    </w:p>
    <w:p w14:paraId="1FC9BD6A" w14:textId="77777777" w:rsidR="00CD3F38" w:rsidRPr="00B35439" w:rsidRDefault="00CD3F38" w:rsidP="00CD3F38">
      <w:pPr>
        <w:widowControl w:val="0"/>
        <w:shd w:val="clear" w:color="auto" w:fill="FFFFFF"/>
        <w:ind w:firstLine="709"/>
        <w:jc w:val="center"/>
        <w:rPr>
          <w:bCs/>
          <w:lang w:eastAsia="en-US"/>
        </w:rPr>
      </w:pPr>
      <w:r w:rsidRPr="00B35439">
        <w:rPr>
          <w:bCs/>
          <w:lang w:eastAsia="en-US"/>
        </w:rPr>
        <w:t>Положення</w:t>
      </w:r>
      <w:r w:rsidRPr="00B35439">
        <w:rPr>
          <w:lang w:eastAsia="en-US"/>
        </w:rPr>
        <w:br/>
      </w:r>
      <w:r w:rsidRPr="00B35439">
        <w:rPr>
          <w:bCs/>
          <w:lang w:eastAsia="en-US"/>
        </w:rPr>
        <w:t>про обов’язкові критерії і нормативи достатності капіталу та платоспроможності, ліквідності, прибутковості, якості активів та ризиковості операцій страховика</w:t>
      </w:r>
    </w:p>
    <w:p w14:paraId="19744667" w14:textId="77777777" w:rsidR="00CD3F38" w:rsidRPr="00B35439" w:rsidRDefault="00CD3F38" w:rsidP="00CD3F38">
      <w:pPr>
        <w:widowControl w:val="0"/>
        <w:shd w:val="clear" w:color="auto" w:fill="FFFFFF"/>
        <w:ind w:firstLine="709"/>
        <w:jc w:val="center"/>
        <w:rPr>
          <w:lang w:eastAsia="en-US"/>
        </w:rPr>
      </w:pPr>
    </w:p>
    <w:p w14:paraId="1CBDAE6B" w14:textId="77777777" w:rsidR="00CD3F38" w:rsidRPr="00B35439" w:rsidRDefault="00CD3F38" w:rsidP="00016274">
      <w:pPr>
        <w:widowControl w:val="0"/>
        <w:numPr>
          <w:ilvl w:val="0"/>
          <w:numId w:val="3"/>
        </w:numPr>
        <w:shd w:val="clear" w:color="auto" w:fill="FFFFFF"/>
        <w:tabs>
          <w:tab w:val="left" w:pos="284"/>
          <w:tab w:val="left" w:pos="1134"/>
        </w:tabs>
        <w:ind w:left="0" w:firstLine="709"/>
        <w:contextualSpacing/>
        <w:jc w:val="center"/>
        <w:outlineLvl w:val="0"/>
        <w:rPr>
          <w:bCs/>
          <w:lang w:eastAsia="en-US"/>
        </w:rPr>
      </w:pPr>
      <w:bookmarkStart w:id="0" w:name="n319"/>
      <w:bookmarkStart w:id="1" w:name="n26"/>
      <w:bookmarkEnd w:id="0"/>
      <w:bookmarkEnd w:id="1"/>
      <w:r w:rsidRPr="00B35439">
        <w:rPr>
          <w:bCs/>
          <w:lang w:eastAsia="en-US"/>
        </w:rPr>
        <w:t>Загальні положення</w:t>
      </w:r>
    </w:p>
    <w:p w14:paraId="33D8FFE9" w14:textId="77777777" w:rsidR="00CD3F38" w:rsidRPr="00B35439" w:rsidRDefault="00CD3F38" w:rsidP="00CD3F38">
      <w:pPr>
        <w:widowControl w:val="0"/>
        <w:shd w:val="clear" w:color="auto" w:fill="FFFFFF"/>
        <w:tabs>
          <w:tab w:val="left" w:pos="1134"/>
        </w:tabs>
        <w:ind w:firstLine="709"/>
        <w:rPr>
          <w:lang w:eastAsia="en-US"/>
        </w:rPr>
      </w:pPr>
    </w:p>
    <w:p w14:paraId="26DE5A99" w14:textId="77777777" w:rsidR="00CD3F38" w:rsidRPr="00B35439" w:rsidRDefault="00CD3F38" w:rsidP="00CD3F38">
      <w:pPr>
        <w:widowControl w:val="0"/>
        <w:numPr>
          <w:ilvl w:val="0"/>
          <w:numId w:val="4"/>
        </w:numPr>
        <w:shd w:val="clear" w:color="auto" w:fill="FFFFFF"/>
        <w:tabs>
          <w:tab w:val="left" w:pos="1134"/>
        </w:tabs>
        <w:ind w:left="0" w:firstLine="709"/>
        <w:contextualSpacing/>
        <w:rPr>
          <w:lang w:eastAsia="en-US"/>
        </w:rPr>
      </w:pPr>
      <w:bookmarkStart w:id="2" w:name="n27"/>
      <w:bookmarkEnd w:id="2"/>
      <w:r w:rsidRPr="00B35439">
        <w:rPr>
          <w:lang w:eastAsia="en-US"/>
        </w:rPr>
        <w:t>Це Положення розроблено відповідно до Законів України “Про Національний банк України”, “Про фінансові послуги та державне регулювання ринків фінансових послуг” (далі – Закон про фінансові послуги), “Про страхування” (далі – Закон про страхування), “Про обов’язкове страхування цивільно-правової відповідальності власників наземних транспортних засобів” (далі – Закон про обов’язкове страхування), інших законодавчих актів України з питань регулювання діяльності небанківських фінансових установ.</w:t>
      </w:r>
    </w:p>
    <w:p w14:paraId="3B4667F7" w14:textId="77777777" w:rsidR="00CD3F38" w:rsidRPr="00B35439" w:rsidRDefault="00CD3F38" w:rsidP="00CD3F38">
      <w:pPr>
        <w:widowControl w:val="0"/>
        <w:shd w:val="clear" w:color="auto" w:fill="FFFFFF"/>
        <w:tabs>
          <w:tab w:val="left" w:pos="1134"/>
        </w:tabs>
        <w:ind w:firstLine="709"/>
        <w:contextualSpacing/>
        <w:rPr>
          <w:lang w:eastAsia="en-US"/>
        </w:rPr>
      </w:pPr>
    </w:p>
    <w:p w14:paraId="170F340B" w14:textId="77777777" w:rsidR="00CD3F38" w:rsidRPr="00B35439" w:rsidRDefault="00CD3F38" w:rsidP="00CD3F38">
      <w:pPr>
        <w:widowControl w:val="0"/>
        <w:numPr>
          <w:ilvl w:val="0"/>
          <w:numId w:val="4"/>
        </w:numPr>
        <w:shd w:val="clear" w:color="auto" w:fill="FFFFFF"/>
        <w:tabs>
          <w:tab w:val="left" w:pos="1134"/>
        </w:tabs>
        <w:ind w:left="0" w:firstLine="709"/>
        <w:contextualSpacing/>
        <w:rPr>
          <w:lang w:eastAsia="en-US"/>
        </w:rPr>
      </w:pPr>
      <w:bookmarkStart w:id="3" w:name="n28"/>
      <w:bookmarkEnd w:id="3"/>
      <w:r w:rsidRPr="00B35439">
        <w:rPr>
          <w:lang w:eastAsia="en-US"/>
        </w:rPr>
        <w:t>Це Положення встановлює обов’язкові для дотримання страховиками критерії і нормативи достатності капіталу та платоспроможності, ліквідності, прибутковості, якості активів та ризиковості операцій страховика.</w:t>
      </w:r>
    </w:p>
    <w:p w14:paraId="3D4C3E26" w14:textId="77777777" w:rsidR="00CD3F38" w:rsidRPr="00B35439" w:rsidRDefault="00CD3F38" w:rsidP="00CD3F38">
      <w:pPr>
        <w:widowControl w:val="0"/>
        <w:tabs>
          <w:tab w:val="left" w:pos="1134"/>
        </w:tabs>
        <w:ind w:firstLine="709"/>
        <w:contextualSpacing/>
        <w:rPr>
          <w:lang w:eastAsia="en-US"/>
        </w:rPr>
      </w:pPr>
    </w:p>
    <w:p w14:paraId="30F8FB77" w14:textId="77777777" w:rsidR="00CD3F38" w:rsidRPr="00B35439" w:rsidRDefault="00CD3F38" w:rsidP="00CD3F38">
      <w:pPr>
        <w:widowControl w:val="0"/>
        <w:numPr>
          <w:ilvl w:val="0"/>
          <w:numId w:val="4"/>
        </w:numPr>
        <w:tabs>
          <w:tab w:val="left" w:pos="1134"/>
        </w:tabs>
        <w:ind w:left="0" w:firstLine="709"/>
        <w:outlineLvl w:val="1"/>
        <w:rPr>
          <w:rFonts w:eastAsiaTheme="majorEastAsia" w:cstheme="majorBidi"/>
          <w:szCs w:val="26"/>
        </w:rPr>
      </w:pPr>
      <w:r w:rsidRPr="00B35439">
        <w:rPr>
          <w:rFonts w:eastAsiaTheme="majorEastAsia" w:cstheme="majorBidi"/>
          <w:szCs w:val="26"/>
        </w:rPr>
        <w:t>Терміни, які використовуються в цьому Положенні, уживаються в таких значеннях:</w:t>
      </w:r>
    </w:p>
    <w:p w14:paraId="5AD3DEE4" w14:textId="77777777" w:rsidR="00CD3F38" w:rsidRPr="00B35439" w:rsidRDefault="00CD3F38" w:rsidP="00CD3F38">
      <w:pPr>
        <w:widowControl w:val="0"/>
        <w:shd w:val="clear" w:color="auto" w:fill="FFFFFF"/>
        <w:tabs>
          <w:tab w:val="left" w:pos="1134"/>
        </w:tabs>
        <w:ind w:firstLine="709"/>
        <w:rPr>
          <w:lang w:eastAsia="en-US"/>
        </w:rPr>
      </w:pPr>
    </w:p>
    <w:p w14:paraId="0D1AC8CB" w14:textId="77777777" w:rsidR="00CD3F38" w:rsidRPr="00B35439" w:rsidRDefault="00CD3F38" w:rsidP="00CD3F38">
      <w:pPr>
        <w:widowControl w:val="0"/>
        <w:numPr>
          <w:ilvl w:val="0"/>
          <w:numId w:val="8"/>
        </w:numPr>
        <w:shd w:val="clear" w:color="auto" w:fill="FFFFFF"/>
        <w:tabs>
          <w:tab w:val="left" w:pos="1134"/>
        </w:tabs>
        <w:ind w:left="0" w:firstLine="709"/>
        <w:contextualSpacing/>
        <w:rPr>
          <w:lang w:eastAsia="en-US"/>
        </w:rPr>
      </w:pPr>
      <w:r w:rsidRPr="00B35439">
        <w:rPr>
          <w:lang w:eastAsia="en-US"/>
        </w:rPr>
        <w:t>боргові цінні папери – корпоративні облігації (крім цільових облігацій), облігації місцевих позик, облігації міжнародних фінансових організацій, державні облігації України;</w:t>
      </w:r>
    </w:p>
    <w:p w14:paraId="5795BFCE" w14:textId="77777777" w:rsidR="00CD3F38" w:rsidRPr="00B35439" w:rsidRDefault="00CD3F38" w:rsidP="00CD3F38">
      <w:pPr>
        <w:widowControl w:val="0"/>
        <w:shd w:val="clear" w:color="auto" w:fill="FFFFFF"/>
        <w:tabs>
          <w:tab w:val="left" w:pos="1134"/>
        </w:tabs>
        <w:ind w:firstLine="709"/>
        <w:contextualSpacing/>
        <w:rPr>
          <w:lang w:eastAsia="en-US"/>
        </w:rPr>
      </w:pPr>
    </w:p>
    <w:p w14:paraId="26EC142F" w14:textId="77777777" w:rsidR="00CD3F38" w:rsidRPr="00B35439" w:rsidRDefault="00CD3F38" w:rsidP="00CD3F38">
      <w:pPr>
        <w:widowControl w:val="0"/>
        <w:numPr>
          <w:ilvl w:val="0"/>
          <w:numId w:val="8"/>
        </w:numPr>
        <w:shd w:val="clear" w:color="auto" w:fill="FFFFFF"/>
        <w:tabs>
          <w:tab w:val="left" w:pos="1134"/>
        </w:tabs>
        <w:ind w:left="0" w:firstLine="709"/>
        <w:contextualSpacing/>
        <w:rPr>
          <w:lang w:eastAsia="en-US"/>
        </w:rPr>
      </w:pPr>
      <w:r w:rsidRPr="00B35439">
        <w:rPr>
          <w:lang w:eastAsia="en-US"/>
        </w:rPr>
        <w:t>види страхування відповідальності – перелік видів страхування відповідно до Закону про страхування, визначений з метою застосування особливостей цього Положення до страховика, який отримав ліцензію на провадження господарської діяльності з надання фінансових послуг (крім професійної діяльності на ринку цінних паперів) у частині проведення таких видів страхування:</w:t>
      </w:r>
    </w:p>
    <w:p w14:paraId="49CF1A74" w14:textId="77777777" w:rsidR="00CD3F38" w:rsidRPr="00B35439" w:rsidRDefault="00CD3F38" w:rsidP="00CD3F38">
      <w:pPr>
        <w:widowControl w:val="0"/>
        <w:shd w:val="clear" w:color="auto" w:fill="FFFFFF"/>
        <w:tabs>
          <w:tab w:val="left" w:pos="1134"/>
        </w:tabs>
        <w:ind w:firstLine="709"/>
        <w:rPr>
          <w:lang w:eastAsia="en-US"/>
        </w:rPr>
      </w:pPr>
      <w:r w:rsidRPr="00B35439">
        <w:rPr>
          <w:lang w:eastAsia="en-US"/>
        </w:rPr>
        <w:t>добровільного страхування відповідальності власників повітряного транспорту (включаючи відповідальність перевізника);</w:t>
      </w:r>
    </w:p>
    <w:p w14:paraId="2936A3A4" w14:textId="77777777" w:rsidR="00CD3F38" w:rsidRPr="00B35439" w:rsidRDefault="00CD3F38" w:rsidP="00CD3F38">
      <w:pPr>
        <w:widowControl w:val="0"/>
        <w:shd w:val="clear" w:color="auto" w:fill="FFFFFF"/>
        <w:tabs>
          <w:tab w:val="left" w:pos="1134"/>
        </w:tabs>
        <w:ind w:firstLine="709"/>
        <w:rPr>
          <w:lang w:eastAsia="en-US"/>
        </w:rPr>
      </w:pPr>
      <w:r w:rsidRPr="00B35439">
        <w:rPr>
          <w:lang w:eastAsia="en-US"/>
        </w:rPr>
        <w:lastRenderedPageBreak/>
        <w:t>добровільного страхування відповідальності власників водного транспорту (включаючи відповідальність перевізника);</w:t>
      </w:r>
    </w:p>
    <w:p w14:paraId="303099B4" w14:textId="77777777" w:rsidR="00CD3F38" w:rsidRPr="00B35439" w:rsidRDefault="00CD3F38" w:rsidP="00CD3F38">
      <w:pPr>
        <w:widowControl w:val="0"/>
        <w:shd w:val="clear" w:color="auto" w:fill="FFFFFF"/>
        <w:tabs>
          <w:tab w:val="left" w:pos="1134"/>
        </w:tabs>
        <w:ind w:firstLine="709"/>
        <w:rPr>
          <w:lang w:eastAsia="en-US"/>
        </w:rPr>
      </w:pPr>
      <w:r w:rsidRPr="00B35439">
        <w:rPr>
          <w:lang w:eastAsia="en-US"/>
        </w:rPr>
        <w:t>добровільного страхування відповідальності перед третіми особами (іншої, ніж передбачена пунктами 12 – 14 статті 6 Закону про страхування);</w:t>
      </w:r>
    </w:p>
    <w:p w14:paraId="53856109" w14:textId="4F0835EB" w:rsidR="00CD3F38" w:rsidRPr="00B35439" w:rsidRDefault="00C7286A" w:rsidP="00CD3F38">
      <w:pPr>
        <w:widowControl w:val="0"/>
        <w:shd w:val="clear" w:color="auto" w:fill="FFFFFF"/>
        <w:tabs>
          <w:tab w:val="left" w:pos="1134"/>
        </w:tabs>
        <w:ind w:firstLine="709"/>
        <w:rPr>
          <w:lang w:eastAsia="en-US"/>
        </w:rPr>
      </w:pPr>
      <w:bookmarkStart w:id="4" w:name="n123"/>
      <w:bookmarkEnd w:id="4"/>
      <w:r w:rsidRPr="00B35439">
        <w:rPr>
          <w:lang w:eastAsia="en-US"/>
        </w:rPr>
        <w:t xml:space="preserve">добровільного </w:t>
      </w:r>
      <w:r w:rsidR="00CD3F38" w:rsidRPr="00B35439">
        <w:rPr>
          <w:lang w:eastAsia="en-US"/>
        </w:rPr>
        <w:t>страхування цивільно-правової відповідальності арбітражного керуючого за шкоду, яку може бути завдано у зв’язку з виконанням його обов’язків;</w:t>
      </w:r>
    </w:p>
    <w:p w14:paraId="3EE87D85" w14:textId="77777777" w:rsidR="00CD3F38" w:rsidRPr="00B35439" w:rsidRDefault="00CD3F38" w:rsidP="00CD3F38">
      <w:pPr>
        <w:widowControl w:val="0"/>
        <w:shd w:val="clear" w:color="auto" w:fill="FFFFFF"/>
        <w:tabs>
          <w:tab w:val="left" w:pos="1134"/>
        </w:tabs>
        <w:ind w:firstLine="709"/>
        <w:rPr>
          <w:lang w:eastAsia="en-US"/>
        </w:rPr>
      </w:pPr>
      <w:r w:rsidRPr="00B35439">
        <w:rPr>
          <w:lang w:eastAsia="en-US"/>
        </w:rPr>
        <w:t>обов'язкового страхування відповідальності морського перевізника та виконавця робіт, пов’язаних із обслуговуванням морського транспорту, щодо відшкодування збитків, завданих пасажирам, багажу, пошті, вантажу, іншим користувачам морського транспорту та третім особам;</w:t>
      </w:r>
    </w:p>
    <w:p w14:paraId="78243CB1" w14:textId="77777777" w:rsidR="00CD3F38" w:rsidRPr="00B35439" w:rsidRDefault="00CD3F38" w:rsidP="00CD3F38">
      <w:pPr>
        <w:widowControl w:val="0"/>
        <w:shd w:val="clear" w:color="auto" w:fill="FFFFFF"/>
        <w:tabs>
          <w:tab w:val="left" w:pos="1134"/>
        </w:tabs>
        <w:ind w:firstLine="709"/>
        <w:rPr>
          <w:lang w:eastAsia="en-US"/>
        </w:rPr>
      </w:pPr>
      <w:r w:rsidRPr="00B35439">
        <w:rPr>
          <w:lang w:eastAsia="en-US"/>
        </w:rPr>
        <w:t>обов'язкового страхування цивільної відповідальності суб’єкта господарювання, що надає послуги із транспортування та/або зберігання транспортних засобів у разі тимчасового затримання транспортних засобів, за шкоду, яка може бути заподіяна транспортному засобу при здійсненні його транспортування та/або зберігання;</w:t>
      </w:r>
    </w:p>
    <w:p w14:paraId="2139494A" w14:textId="77777777" w:rsidR="00CD3F38" w:rsidRPr="00B35439" w:rsidRDefault="00CD3F38" w:rsidP="00CD3F38">
      <w:pPr>
        <w:widowControl w:val="0"/>
        <w:shd w:val="clear" w:color="auto" w:fill="FFFFFF"/>
        <w:tabs>
          <w:tab w:val="left" w:pos="1134"/>
        </w:tabs>
        <w:ind w:firstLine="709"/>
        <w:rPr>
          <w:lang w:eastAsia="en-US"/>
        </w:rPr>
      </w:pPr>
      <w:r w:rsidRPr="00B35439">
        <w:rPr>
          <w:lang w:eastAsia="en-US"/>
        </w:rPr>
        <w:t>обов'язкового страхування цивільної відповідальності оператора ядерної установки за ядерну шкоду, яка може бути заподіяна внаслідок ядерного інциденту;</w:t>
      </w:r>
    </w:p>
    <w:p w14:paraId="2DBD6072" w14:textId="77777777" w:rsidR="00CD3F38" w:rsidRPr="00B35439" w:rsidRDefault="00CD3F38" w:rsidP="00CD3F38">
      <w:pPr>
        <w:widowControl w:val="0"/>
        <w:shd w:val="clear" w:color="auto" w:fill="FFFFFF"/>
        <w:tabs>
          <w:tab w:val="left" w:pos="1134"/>
        </w:tabs>
        <w:ind w:firstLine="709"/>
        <w:rPr>
          <w:lang w:eastAsia="en-US"/>
        </w:rPr>
      </w:pPr>
      <w:r w:rsidRPr="00B35439">
        <w:rPr>
          <w:lang w:eastAsia="en-US"/>
        </w:rPr>
        <w:t xml:space="preserve">обов'язкового страхування цивільної відповідальності суб’єктів господарювання за шкоду, яку може бути заподіяно пожежами та аваріями на об’єктах підвищеної небезпеки, включаючи </w:t>
      </w:r>
      <w:proofErr w:type="spellStart"/>
      <w:r w:rsidRPr="00B35439">
        <w:rPr>
          <w:lang w:eastAsia="en-US"/>
        </w:rPr>
        <w:t>пожежовибухонебезпечні</w:t>
      </w:r>
      <w:proofErr w:type="spellEnd"/>
      <w:r w:rsidRPr="00B35439">
        <w:rPr>
          <w:lang w:eastAsia="en-US"/>
        </w:rPr>
        <w:t xml:space="preserve"> об’єкти та об’єкти, господарська діяльність на яких може призвести до аварій екологічного та санітарно-епідеміологічного характеру;</w:t>
      </w:r>
    </w:p>
    <w:p w14:paraId="5529B09B" w14:textId="77777777" w:rsidR="00CD3F38" w:rsidRPr="00B35439" w:rsidRDefault="00CD3F38" w:rsidP="00CD3F38">
      <w:pPr>
        <w:widowControl w:val="0"/>
        <w:shd w:val="clear" w:color="auto" w:fill="FFFFFF"/>
        <w:tabs>
          <w:tab w:val="left" w:pos="1134"/>
        </w:tabs>
        <w:ind w:firstLine="709"/>
        <w:rPr>
          <w:lang w:eastAsia="en-US"/>
        </w:rPr>
      </w:pPr>
      <w:r w:rsidRPr="00B35439">
        <w:rPr>
          <w:lang w:eastAsia="en-US"/>
        </w:rPr>
        <w:t>обов'язкового страхування цивільної відповідальності інвестора, в тому числі за шкоду, заподіяну довкіллю, здоров’ю людей, за угодою про розподіл продукції, якщо інше не передбачено такою угодою;</w:t>
      </w:r>
    </w:p>
    <w:p w14:paraId="3B69172E" w14:textId="77777777" w:rsidR="00CD3F38" w:rsidRPr="00B35439" w:rsidRDefault="00CD3F38" w:rsidP="00CD3F38">
      <w:pPr>
        <w:widowControl w:val="0"/>
        <w:shd w:val="clear" w:color="auto" w:fill="FFFFFF"/>
        <w:tabs>
          <w:tab w:val="left" w:pos="1134"/>
        </w:tabs>
        <w:ind w:firstLine="709"/>
        <w:rPr>
          <w:lang w:eastAsia="en-US"/>
        </w:rPr>
      </w:pPr>
      <w:r w:rsidRPr="00B35439">
        <w:rPr>
          <w:lang w:eastAsia="en-US"/>
        </w:rPr>
        <w:t>обов'язкового страхування відповідальності експортера та особи, яка відповідає за утилізацію (видалення) небезпечних відходів, щодо відшкодування шкоди, яку може бути заподіяно здоров’ю людини, власності та навколишньому природному середовищу під час транскордонного перевезення та утилізації (видалення) небезпечних відходів;</w:t>
      </w:r>
    </w:p>
    <w:p w14:paraId="49AB16A1" w14:textId="77777777" w:rsidR="00CD3F38" w:rsidRPr="00B35439" w:rsidRDefault="00CD3F38" w:rsidP="00CD3F38">
      <w:pPr>
        <w:widowControl w:val="0"/>
        <w:shd w:val="clear" w:color="auto" w:fill="FFFFFF"/>
        <w:tabs>
          <w:tab w:val="left" w:pos="1134"/>
        </w:tabs>
        <w:ind w:firstLine="709"/>
        <w:rPr>
          <w:lang w:eastAsia="en-US"/>
        </w:rPr>
      </w:pPr>
      <w:bookmarkStart w:id="5" w:name="n161"/>
      <w:bookmarkStart w:id="6" w:name="n165"/>
      <w:bookmarkEnd w:id="5"/>
      <w:bookmarkEnd w:id="6"/>
      <w:r w:rsidRPr="00B35439">
        <w:rPr>
          <w:lang w:eastAsia="en-US"/>
        </w:rPr>
        <w:t>обов'язкового страхування цивільної відповідальності суб’єктів космічної діяльності;</w:t>
      </w:r>
    </w:p>
    <w:p w14:paraId="438FECF0" w14:textId="77777777" w:rsidR="00CD3F38" w:rsidRPr="00B35439" w:rsidRDefault="00CD3F38" w:rsidP="00CD3F38">
      <w:pPr>
        <w:widowControl w:val="0"/>
        <w:shd w:val="clear" w:color="auto" w:fill="FFFFFF"/>
        <w:tabs>
          <w:tab w:val="left" w:pos="1134"/>
        </w:tabs>
        <w:ind w:firstLine="709"/>
        <w:rPr>
          <w:lang w:eastAsia="en-US"/>
        </w:rPr>
      </w:pPr>
      <w:bookmarkStart w:id="7" w:name="n166"/>
      <w:bookmarkStart w:id="8" w:name="n167"/>
      <w:bookmarkEnd w:id="7"/>
      <w:bookmarkEnd w:id="8"/>
      <w:r w:rsidRPr="00B35439">
        <w:rPr>
          <w:lang w:eastAsia="en-US"/>
        </w:rPr>
        <w:t>обов'язкового страхування відповідальності щодо ризиків, пов’язаних з підготовкою до запуску космічної техніки на космодромі, запуском та експлуатацією її у космічному просторі;</w:t>
      </w:r>
    </w:p>
    <w:p w14:paraId="038193D9" w14:textId="77777777" w:rsidR="00CD3F38" w:rsidRPr="00B35439" w:rsidRDefault="00CD3F38" w:rsidP="00CD3F38">
      <w:pPr>
        <w:widowControl w:val="0"/>
        <w:shd w:val="clear" w:color="auto" w:fill="FFFFFF"/>
        <w:tabs>
          <w:tab w:val="left" w:pos="1134"/>
        </w:tabs>
        <w:ind w:firstLine="709"/>
        <w:rPr>
          <w:lang w:eastAsia="en-US"/>
        </w:rPr>
      </w:pPr>
      <w:bookmarkStart w:id="9" w:name="n168"/>
      <w:bookmarkEnd w:id="9"/>
      <w:r w:rsidRPr="00B35439">
        <w:rPr>
          <w:lang w:eastAsia="en-US"/>
        </w:rPr>
        <w:t>обов'язкового страхування відповідальності суб’єктів перевезення небезпечних вантажів на випадок настання негативних наслідків при перевезенні небезпечних вантажів;</w:t>
      </w:r>
    </w:p>
    <w:p w14:paraId="1D11AB73" w14:textId="77777777" w:rsidR="00CD3F38" w:rsidRPr="00B35439" w:rsidRDefault="00CD3F38" w:rsidP="00CD3F38">
      <w:pPr>
        <w:widowControl w:val="0"/>
        <w:shd w:val="clear" w:color="auto" w:fill="FFFFFF"/>
        <w:tabs>
          <w:tab w:val="left" w:pos="1134"/>
        </w:tabs>
        <w:ind w:firstLine="709"/>
        <w:rPr>
          <w:lang w:eastAsia="en-US"/>
        </w:rPr>
      </w:pPr>
      <w:bookmarkStart w:id="10" w:name="n169"/>
      <w:bookmarkEnd w:id="10"/>
      <w:r w:rsidRPr="00B35439">
        <w:rPr>
          <w:lang w:eastAsia="en-US"/>
        </w:rPr>
        <w:t xml:space="preserve">обов'язкового страхування професійної відповідальності осіб, діяльність яких може заподіяти шкоду третім особам, за переліком, встановленим </w:t>
      </w:r>
      <w:r w:rsidRPr="00B35439">
        <w:rPr>
          <w:lang w:eastAsia="en-US"/>
        </w:rPr>
        <w:lastRenderedPageBreak/>
        <w:t>Кабінетом Міністрів України;</w:t>
      </w:r>
    </w:p>
    <w:p w14:paraId="49EB166C" w14:textId="77777777" w:rsidR="00CD3F38" w:rsidRPr="00B35439" w:rsidRDefault="00CD3F38" w:rsidP="00CD3F38">
      <w:pPr>
        <w:widowControl w:val="0"/>
        <w:shd w:val="clear" w:color="auto" w:fill="FFFFFF"/>
        <w:tabs>
          <w:tab w:val="left" w:pos="1134"/>
        </w:tabs>
        <w:ind w:firstLine="709"/>
        <w:rPr>
          <w:lang w:eastAsia="en-US"/>
        </w:rPr>
      </w:pPr>
      <w:bookmarkStart w:id="11" w:name="n170"/>
      <w:bookmarkEnd w:id="11"/>
      <w:r w:rsidRPr="00B35439">
        <w:rPr>
          <w:lang w:eastAsia="en-US"/>
        </w:rPr>
        <w:t>обов'язкового страхування відповідальності власників собак (за переліком порід, визначених Кабінетом Міністрів України) щодо шкоди, яка може бути заподіяна третім особам;</w:t>
      </w:r>
    </w:p>
    <w:p w14:paraId="5AC7F730" w14:textId="77777777" w:rsidR="00CD3F38" w:rsidRPr="00B35439" w:rsidRDefault="00CD3F38" w:rsidP="00CD3F38">
      <w:pPr>
        <w:widowControl w:val="0"/>
        <w:shd w:val="clear" w:color="auto" w:fill="FFFFFF"/>
        <w:tabs>
          <w:tab w:val="left" w:pos="1134"/>
        </w:tabs>
        <w:ind w:firstLine="709"/>
        <w:rPr>
          <w:lang w:eastAsia="en-US"/>
        </w:rPr>
      </w:pPr>
      <w:bookmarkStart w:id="12" w:name="n171"/>
      <w:bookmarkEnd w:id="12"/>
      <w:r w:rsidRPr="00B35439">
        <w:rPr>
          <w:lang w:eastAsia="en-US"/>
        </w:rPr>
        <w:t>обов'язкового страхування цивільної відповідальності громадян України, що мають у власності чи іншому законному володінні зброю, за шкоду, яка може бути заподіяна третій особі або її майну внаслідок володіння, зберігання чи використання цієї зброї;</w:t>
      </w:r>
    </w:p>
    <w:p w14:paraId="4462D0FE" w14:textId="77777777" w:rsidR="00CD3F38" w:rsidRPr="00B35439" w:rsidRDefault="00CD3F38" w:rsidP="00CD3F38">
      <w:pPr>
        <w:widowControl w:val="0"/>
        <w:shd w:val="clear" w:color="auto" w:fill="FFFFFF"/>
        <w:tabs>
          <w:tab w:val="left" w:pos="1134"/>
        </w:tabs>
        <w:ind w:firstLine="709"/>
        <w:rPr>
          <w:lang w:eastAsia="en-US"/>
        </w:rPr>
      </w:pPr>
      <w:bookmarkStart w:id="13" w:name="n172"/>
      <w:bookmarkStart w:id="14" w:name="n173"/>
      <w:bookmarkStart w:id="15" w:name="n174"/>
      <w:bookmarkEnd w:id="13"/>
      <w:bookmarkEnd w:id="14"/>
      <w:bookmarkEnd w:id="15"/>
      <w:r w:rsidRPr="00B35439">
        <w:rPr>
          <w:lang w:eastAsia="en-US"/>
        </w:rPr>
        <w:t>обов'язкового страхування відповідальності суб’єктів туристичної діяльності за шкоду, заподіяну життю чи здоров’ю туриста або його майну;</w:t>
      </w:r>
    </w:p>
    <w:p w14:paraId="1DF870F9" w14:textId="77777777" w:rsidR="00CD3F38" w:rsidRPr="00B35439" w:rsidRDefault="00CD3F38" w:rsidP="00CD3F38">
      <w:pPr>
        <w:widowControl w:val="0"/>
        <w:shd w:val="clear" w:color="auto" w:fill="FFFFFF"/>
        <w:tabs>
          <w:tab w:val="left" w:pos="1134"/>
        </w:tabs>
        <w:ind w:firstLine="709"/>
        <w:rPr>
          <w:lang w:eastAsia="en-US"/>
        </w:rPr>
      </w:pPr>
      <w:bookmarkStart w:id="16" w:name="n175"/>
      <w:bookmarkEnd w:id="16"/>
      <w:r w:rsidRPr="00B35439">
        <w:rPr>
          <w:lang w:eastAsia="en-US"/>
        </w:rPr>
        <w:t>обов'язкового страхування відповідальності морського судновласника;</w:t>
      </w:r>
    </w:p>
    <w:p w14:paraId="5F12CBFC" w14:textId="77777777" w:rsidR="00CD3F38" w:rsidRPr="00B35439" w:rsidRDefault="00CD3F38" w:rsidP="00CD3F38">
      <w:pPr>
        <w:widowControl w:val="0"/>
        <w:shd w:val="clear" w:color="auto" w:fill="FFFFFF"/>
        <w:tabs>
          <w:tab w:val="left" w:pos="1134"/>
        </w:tabs>
        <w:ind w:firstLine="709"/>
        <w:rPr>
          <w:lang w:eastAsia="en-US"/>
        </w:rPr>
      </w:pPr>
      <w:bookmarkStart w:id="17" w:name="n176"/>
      <w:bookmarkEnd w:id="17"/>
      <w:r w:rsidRPr="00B35439">
        <w:rPr>
          <w:lang w:eastAsia="en-US"/>
        </w:rPr>
        <w:t>обов'язкового страхування відповідальності виробників (постачальників) продукції тваринного походження, ветеринарних препаратів, субстанцій за шкоду, заподіяну третім особам;</w:t>
      </w:r>
    </w:p>
    <w:p w14:paraId="6F285FFB" w14:textId="77777777" w:rsidR="00CD3F38" w:rsidRPr="00B35439" w:rsidRDefault="00CD3F38" w:rsidP="00CD3F38">
      <w:pPr>
        <w:widowControl w:val="0"/>
        <w:shd w:val="clear" w:color="auto" w:fill="FFFFFF"/>
        <w:tabs>
          <w:tab w:val="left" w:pos="1134"/>
        </w:tabs>
        <w:ind w:firstLine="709"/>
        <w:rPr>
          <w:lang w:eastAsia="en-US"/>
        </w:rPr>
      </w:pPr>
      <w:bookmarkStart w:id="18" w:name="n178"/>
      <w:bookmarkStart w:id="19" w:name="n179"/>
      <w:bookmarkStart w:id="20" w:name="n188"/>
      <w:bookmarkEnd w:id="18"/>
      <w:bookmarkEnd w:id="19"/>
      <w:bookmarkEnd w:id="20"/>
      <w:r w:rsidRPr="00B35439">
        <w:rPr>
          <w:lang w:eastAsia="en-US"/>
        </w:rPr>
        <w:t>обов'язкового страхування цивільної відповідальності суб’єктів господарювання за шкоду, яку може бути заподіяно довкіллю або здоров’ю людей під час зберігання та застосування пестицидів і агрохімікатів;</w:t>
      </w:r>
    </w:p>
    <w:p w14:paraId="7AF70D6D" w14:textId="77777777" w:rsidR="00CD3F38" w:rsidRPr="00B35439" w:rsidRDefault="00CD3F38" w:rsidP="00CD3F38">
      <w:pPr>
        <w:widowControl w:val="0"/>
        <w:shd w:val="clear" w:color="auto" w:fill="FFFFFF"/>
        <w:tabs>
          <w:tab w:val="left" w:pos="1134"/>
        </w:tabs>
        <w:ind w:firstLine="709"/>
        <w:rPr>
          <w:lang w:eastAsia="en-US"/>
        </w:rPr>
      </w:pPr>
      <w:r w:rsidRPr="00B35439">
        <w:rPr>
          <w:lang w:eastAsia="en-US"/>
        </w:rPr>
        <w:t>обов'язкового страхування цивільної відповідальності суб’єкта господарювання за шкоду, яку може бути заподіяно третім особам унаслідок проведення вибухових робіт;</w:t>
      </w:r>
    </w:p>
    <w:p w14:paraId="72CB0881" w14:textId="77777777" w:rsidR="00CD3F38" w:rsidRPr="00B35439" w:rsidRDefault="00CD3F38" w:rsidP="00CD3F38">
      <w:pPr>
        <w:widowControl w:val="0"/>
        <w:shd w:val="clear" w:color="auto" w:fill="FFFFFF"/>
        <w:tabs>
          <w:tab w:val="left" w:pos="1134"/>
        </w:tabs>
        <w:ind w:firstLine="709"/>
        <w:rPr>
          <w:lang w:eastAsia="en-US"/>
        </w:rPr>
      </w:pPr>
      <w:r w:rsidRPr="00B35439">
        <w:rPr>
          <w:lang w:eastAsia="en-US"/>
        </w:rPr>
        <w:t>обов'язкового страхування цивільно-правової відповідальності приватного нотаріуса;</w:t>
      </w:r>
    </w:p>
    <w:p w14:paraId="72122B14" w14:textId="77777777" w:rsidR="00CD3F38" w:rsidRPr="00B35439" w:rsidRDefault="00CD3F38" w:rsidP="00CD3F38">
      <w:pPr>
        <w:widowControl w:val="0"/>
        <w:shd w:val="clear" w:color="auto" w:fill="FFFFFF"/>
        <w:tabs>
          <w:tab w:val="left" w:pos="1134"/>
        </w:tabs>
        <w:ind w:firstLine="709"/>
        <w:rPr>
          <w:sz w:val="24"/>
          <w:szCs w:val="24"/>
          <w:lang w:eastAsia="en-US"/>
        </w:rPr>
      </w:pPr>
      <w:r w:rsidRPr="00B35439">
        <w:rPr>
          <w:lang w:eastAsia="en-US"/>
        </w:rPr>
        <w:t>обов'язкового страхування цивільної відповідальності суб’єкта господарювання за шкоду, яку може бути заподіяно довкіллю та (або) здоров’ю і майну третіх осіб під час виконання робіт з гуманітарного розмінування;</w:t>
      </w:r>
    </w:p>
    <w:p w14:paraId="47FECE08" w14:textId="77777777" w:rsidR="00CD3F38" w:rsidRPr="00B35439" w:rsidRDefault="00CD3F38" w:rsidP="00CD3F38">
      <w:pPr>
        <w:widowControl w:val="0"/>
        <w:shd w:val="clear" w:color="auto" w:fill="FFFFFF"/>
        <w:tabs>
          <w:tab w:val="left" w:pos="1134"/>
        </w:tabs>
        <w:ind w:firstLine="709"/>
        <w:contextualSpacing/>
        <w:rPr>
          <w:lang w:eastAsia="en-US"/>
        </w:rPr>
      </w:pPr>
    </w:p>
    <w:p w14:paraId="1532D21D" w14:textId="77777777" w:rsidR="00CD3F38" w:rsidRPr="00B35439" w:rsidRDefault="00CD3F38" w:rsidP="00CD3F38">
      <w:pPr>
        <w:widowControl w:val="0"/>
        <w:numPr>
          <w:ilvl w:val="0"/>
          <w:numId w:val="8"/>
        </w:numPr>
        <w:shd w:val="clear" w:color="auto" w:fill="FFFFFF"/>
        <w:tabs>
          <w:tab w:val="left" w:pos="1134"/>
        </w:tabs>
        <w:ind w:left="0" w:firstLine="709"/>
        <w:contextualSpacing/>
        <w:rPr>
          <w:lang w:eastAsia="en-US"/>
        </w:rPr>
      </w:pPr>
      <w:r w:rsidRPr="00B35439">
        <w:rPr>
          <w:lang w:eastAsia="en-US"/>
        </w:rPr>
        <w:t>договір вихідного перестрахування – договір перестрахування, згідно з яким страховик є перестрахувальником;</w:t>
      </w:r>
    </w:p>
    <w:p w14:paraId="59B367C5" w14:textId="77777777" w:rsidR="00CD3F38" w:rsidRPr="00B35439" w:rsidRDefault="00CD3F38" w:rsidP="00CD3F38">
      <w:pPr>
        <w:widowControl w:val="0"/>
        <w:tabs>
          <w:tab w:val="left" w:pos="1134"/>
        </w:tabs>
        <w:ind w:firstLine="709"/>
        <w:contextualSpacing/>
        <w:rPr>
          <w:lang w:eastAsia="en-US"/>
        </w:rPr>
      </w:pPr>
    </w:p>
    <w:p w14:paraId="52A0C41C" w14:textId="77777777" w:rsidR="00CD3F38" w:rsidRPr="00B35439" w:rsidRDefault="00CD3F38" w:rsidP="00CD3F38">
      <w:pPr>
        <w:widowControl w:val="0"/>
        <w:numPr>
          <w:ilvl w:val="0"/>
          <w:numId w:val="8"/>
        </w:numPr>
        <w:shd w:val="clear" w:color="auto" w:fill="FFFFFF"/>
        <w:tabs>
          <w:tab w:val="left" w:pos="1134"/>
        </w:tabs>
        <w:ind w:left="0" w:firstLine="709"/>
        <w:contextualSpacing/>
        <w:rPr>
          <w:lang w:eastAsia="en-US"/>
        </w:rPr>
      </w:pPr>
      <w:r w:rsidRPr="00B35439">
        <w:rPr>
          <w:lang w:eastAsia="en-US"/>
        </w:rPr>
        <w:t xml:space="preserve">договір вхідного перестрахування – договір перестрахування, згідно з яким страховик є </w:t>
      </w:r>
      <w:proofErr w:type="spellStart"/>
      <w:r w:rsidRPr="00B35439">
        <w:rPr>
          <w:lang w:eastAsia="en-US"/>
        </w:rPr>
        <w:t>перестраховиком</w:t>
      </w:r>
      <w:proofErr w:type="spellEnd"/>
      <w:r w:rsidRPr="00B35439">
        <w:rPr>
          <w:lang w:eastAsia="en-US"/>
        </w:rPr>
        <w:t>;</w:t>
      </w:r>
    </w:p>
    <w:p w14:paraId="7C905450" w14:textId="77777777" w:rsidR="00CD3F38" w:rsidRPr="00B35439" w:rsidRDefault="00CD3F38" w:rsidP="00CD3F38">
      <w:pPr>
        <w:widowControl w:val="0"/>
        <w:shd w:val="clear" w:color="auto" w:fill="FFFFFF"/>
        <w:tabs>
          <w:tab w:val="left" w:pos="1134"/>
        </w:tabs>
        <w:ind w:firstLine="709"/>
        <w:contextualSpacing/>
        <w:rPr>
          <w:lang w:eastAsia="en-US"/>
        </w:rPr>
      </w:pPr>
    </w:p>
    <w:p w14:paraId="47FF81B7" w14:textId="77777777" w:rsidR="00CD3F38" w:rsidRPr="00B35439" w:rsidRDefault="00CD3F38" w:rsidP="00CD3F38">
      <w:pPr>
        <w:widowControl w:val="0"/>
        <w:numPr>
          <w:ilvl w:val="0"/>
          <w:numId w:val="8"/>
        </w:numPr>
        <w:shd w:val="clear" w:color="auto" w:fill="FFFFFF"/>
        <w:tabs>
          <w:tab w:val="left" w:pos="1134"/>
        </w:tabs>
        <w:ind w:left="0" w:firstLine="709"/>
        <w:contextualSpacing/>
        <w:rPr>
          <w:lang w:eastAsia="en-US"/>
        </w:rPr>
      </w:pPr>
      <w:r w:rsidRPr="00B35439">
        <w:rPr>
          <w:lang w:eastAsia="en-US"/>
        </w:rPr>
        <w:t>додаткові ризики – страхові ризики договору страхування життя, до яких належать: нещасний випадок, що стався із застрахованою особою, хвороби застрахованої особи, наслідки нещасного випадку та/або хвороби;</w:t>
      </w:r>
    </w:p>
    <w:p w14:paraId="30201EAD" w14:textId="77777777" w:rsidR="00CD3F38" w:rsidRPr="00B35439" w:rsidRDefault="00CD3F38" w:rsidP="00CD3F38">
      <w:pPr>
        <w:ind w:firstLine="709"/>
        <w:contextualSpacing/>
        <w:rPr>
          <w:lang w:eastAsia="en-US"/>
        </w:rPr>
      </w:pPr>
    </w:p>
    <w:p w14:paraId="5B459A7A" w14:textId="77777777" w:rsidR="00CD3F38" w:rsidRPr="00B35439" w:rsidRDefault="00CD3F38" w:rsidP="00CD3F38">
      <w:pPr>
        <w:widowControl w:val="0"/>
        <w:numPr>
          <w:ilvl w:val="0"/>
          <w:numId w:val="8"/>
        </w:numPr>
        <w:shd w:val="clear" w:color="auto" w:fill="FFFFFF"/>
        <w:tabs>
          <w:tab w:val="left" w:pos="1134"/>
        </w:tabs>
        <w:ind w:left="0" w:firstLine="709"/>
        <w:contextualSpacing/>
        <w:rPr>
          <w:lang w:eastAsia="en-US"/>
        </w:rPr>
      </w:pPr>
      <w:r w:rsidRPr="00B35439">
        <w:rPr>
          <w:lang w:eastAsia="en-US"/>
        </w:rPr>
        <w:t>непрострочена дебіторська заборгованість – дебіторська заборгованість, термін погашення якої не настав відповідно до укладеного договору або законодавства України та строк якої не перевищує 365 календарних днів з дати її виникнення (визнання);</w:t>
      </w:r>
    </w:p>
    <w:p w14:paraId="18442D0A" w14:textId="77777777" w:rsidR="00CD3F38" w:rsidRPr="00B35439" w:rsidRDefault="00CD3F38" w:rsidP="00CD3F38">
      <w:pPr>
        <w:widowControl w:val="0"/>
        <w:tabs>
          <w:tab w:val="left" w:pos="1134"/>
        </w:tabs>
        <w:ind w:firstLine="709"/>
        <w:contextualSpacing/>
        <w:rPr>
          <w:lang w:eastAsia="en-US"/>
        </w:rPr>
      </w:pPr>
    </w:p>
    <w:p w14:paraId="0A808FA2" w14:textId="2D53F659" w:rsidR="00CD3F38" w:rsidRPr="00B35439" w:rsidRDefault="00CD3F38" w:rsidP="00CD3F38">
      <w:pPr>
        <w:numPr>
          <w:ilvl w:val="0"/>
          <w:numId w:val="8"/>
        </w:numPr>
        <w:shd w:val="clear" w:color="auto" w:fill="FFFFFF"/>
        <w:tabs>
          <w:tab w:val="left" w:pos="1134"/>
        </w:tabs>
        <w:ind w:left="0" w:firstLine="709"/>
        <w:contextualSpacing/>
        <w:rPr>
          <w:lang w:eastAsia="en-US"/>
        </w:rPr>
      </w:pPr>
      <w:r w:rsidRPr="00B35439">
        <w:rPr>
          <w:lang w:eastAsia="en-US"/>
        </w:rPr>
        <w:lastRenderedPageBreak/>
        <w:t>нерухоме майно – житлові будинки, будівлі, споруди, а також їх окремі частини, квартири, житлові і нежитлові приміщення, щодо яких страховиком здійснено державну реєстрацію прав власності на таке нерухоме майно відповідно до законодавства України, а також земельні ділянки, щодо яких страховиком здійснено державну реєстрацію прав власності на таке нерухоме майно відповідно до законодавства України</w:t>
      </w:r>
      <w:r w:rsidR="00D439F3" w:rsidRPr="00B35439">
        <w:rPr>
          <w:lang w:eastAsia="en-US"/>
        </w:rPr>
        <w:t>, на яких розташовані (розміщені) такі житлові будинки, будівлі, споруди, а також їх окремі частини, квартири, житлові і нежитлові приміщення</w:t>
      </w:r>
      <w:r w:rsidRPr="00B35439">
        <w:rPr>
          <w:lang w:eastAsia="en-US"/>
        </w:rPr>
        <w:t>;</w:t>
      </w:r>
    </w:p>
    <w:p w14:paraId="0112F9C5" w14:textId="77777777" w:rsidR="00CD3F38" w:rsidRPr="00B35439" w:rsidRDefault="00CD3F38" w:rsidP="00CD3F38">
      <w:pPr>
        <w:widowControl w:val="0"/>
        <w:shd w:val="clear" w:color="auto" w:fill="FFFFFF"/>
        <w:tabs>
          <w:tab w:val="left" w:pos="1134"/>
        </w:tabs>
        <w:ind w:firstLine="709"/>
        <w:contextualSpacing/>
        <w:rPr>
          <w:lang w:eastAsia="en-US"/>
        </w:rPr>
      </w:pPr>
    </w:p>
    <w:p w14:paraId="5004ABB8" w14:textId="77777777" w:rsidR="00CD3F38" w:rsidRPr="00B35439" w:rsidRDefault="00CD3F38" w:rsidP="00CD3F38">
      <w:pPr>
        <w:widowControl w:val="0"/>
        <w:numPr>
          <w:ilvl w:val="0"/>
          <w:numId w:val="8"/>
        </w:numPr>
        <w:shd w:val="clear" w:color="auto" w:fill="FFFFFF"/>
        <w:tabs>
          <w:tab w:val="left" w:pos="1134"/>
        </w:tabs>
        <w:ind w:left="0" w:firstLine="709"/>
        <w:contextualSpacing/>
        <w:rPr>
          <w:lang w:eastAsia="en-US"/>
        </w:rPr>
      </w:pPr>
      <w:r w:rsidRPr="00B35439">
        <w:rPr>
          <w:lang w:eastAsia="en-US"/>
        </w:rPr>
        <w:t>окремий вид страхування – вид страхування з переліку видів страхування, визначеного з метою застосування особливостей цього Положення до страховика, який отримав ліцензію на провадження господарської діяльності з надання фінансових послуг (крім професійної діяльності на ринку цінних паперів) у частині проведення таких видів страхування:</w:t>
      </w:r>
    </w:p>
    <w:p w14:paraId="5E3C91AD" w14:textId="77777777" w:rsidR="00CD3F38" w:rsidRPr="00B35439" w:rsidRDefault="00CD3F38" w:rsidP="00CD3F38">
      <w:pPr>
        <w:widowControl w:val="0"/>
        <w:shd w:val="clear" w:color="auto" w:fill="FFFFFF"/>
        <w:tabs>
          <w:tab w:val="left" w:pos="1134"/>
        </w:tabs>
        <w:ind w:firstLine="709"/>
        <w:rPr>
          <w:lang w:eastAsia="en-US"/>
        </w:rPr>
      </w:pPr>
      <w:r w:rsidRPr="00B35439">
        <w:rPr>
          <w:lang w:eastAsia="en-US"/>
        </w:rPr>
        <w:t>обов’язкового авіаційного страхування цивільної авіації;</w:t>
      </w:r>
    </w:p>
    <w:p w14:paraId="54AD8B5D" w14:textId="77777777" w:rsidR="00CD3F38" w:rsidRPr="00B35439" w:rsidRDefault="00CD3F38" w:rsidP="00CD3F38">
      <w:pPr>
        <w:widowControl w:val="0"/>
        <w:shd w:val="clear" w:color="auto" w:fill="FFFFFF"/>
        <w:tabs>
          <w:tab w:val="left" w:pos="1134"/>
        </w:tabs>
        <w:ind w:firstLine="709"/>
        <w:rPr>
          <w:lang w:eastAsia="en-US"/>
        </w:rPr>
      </w:pPr>
      <w:r w:rsidRPr="00B35439">
        <w:rPr>
          <w:lang w:eastAsia="en-US"/>
        </w:rPr>
        <w:t>обов’язкового страхування відповідальності морського перевізника та виконавця робіт, пов’язаних із обслуговуванням морського транспорту, щодо відшкодування збитків, завданих пасажирам, багажу, пошті, вантажу, іншим користувачам морського транспорту та третім особам;</w:t>
      </w:r>
    </w:p>
    <w:p w14:paraId="20C84FBF" w14:textId="77777777" w:rsidR="00CD3F38" w:rsidRPr="00B35439" w:rsidRDefault="00CD3F38" w:rsidP="00CD3F38">
      <w:pPr>
        <w:widowControl w:val="0"/>
        <w:shd w:val="clear" w:color="auto" w:fill="FFFFFF"/>
        <w:tabs>
          <w:tab w:val="left" w:pos="1134"/>
        </w:tabs>
        <w:ind w:firstLine="709"/>
        <w:rPr>
          <w:lang w:eastAsia="en-US"/>
        </w:rPr>
      </w:pPr>
      <w:r w:rsidRPr="00B35439">
        <w:rPr>
          <w:lang w:eastAsia="en-US"/>
        </w:rPr>
        <w:t>обов’язкового страхування цивільної відповідальності суб’єктів космічної діяльності;</w:t>
      </w:r>
    </w:p>
    <w:p w14:paraId="3FA80783" w14:textId="77777777" w:rsidR="00CD3F38" w:rsidRPr="00B35439" w:rsidRDefault="00CD3F38" w:rsidP="00CD3F38">
      <w:pPr>
        <w:widowControl w:val="0"/>
        <w:shd w:val="clear" w:color="auto" w:fill="FFFFFF"/>
        <w:tabs>
          <w:tab w:val="left" w:pos="1134"/>
        </w:tabs>
        <w:ind w:firstLine="709"/>
        <w:rPr>
          <w:lang w:eastAsia="en-US"/>
        </w:rPr>
      </w:pPr>
      <w:r w:rsidRPr="00B35439">
        <w:rPr>
          <w:lang w:eastAsia="en-US"/>
        </w:rPr>
        <w:t>обов’язкового страхування відповідальності щодо ризиків, пов’язаних із підготовкою до запуску космічної техніки на космодромі, запуском та експлуатацією її у космічному просторі;</w:t>
      </w:r>
    </w:p>
    <w:p w14:paraId="2C34FE1D" w14:textId="77777777" w:rsidR="00CD3F38" w:rsidRPr="00B35439" w:rsidRDefault="00CD3F38" w:rsidP="00CD3F38">
      <w:pPr>
        <w:widowControl w:val="0"/>
        <w:shd w:val="clear" w:color="auto" w:fill="FFFFFF"/>
        <w:tabs>
          <w:tab w:val="left" w:pos="1134"/>
        </w:tabs>
        <w:ind w:firstLine="709"/>
        <w:rPr>
          <w:lang w:eastAsia="en-US"/>
        </w:rPr>
      </w:pPr>
      <w:r w:rsidRPr="00B35439">
        <w:rPr>
          <w:lang w:eastAsia="en-US"/>
        </w:rPr>
        <w:t>добровільного страхування відповідальності власників водного транспорту (включаючи відповідальність перевізника);</w:t>
      </w:r>
    </w:p>
    <w:p w14:paraId="080569FE" w14:textId="77777777" w:rsidR="00CD3F38" w:rsidRPr="00B35439" w:rsidRDefault="00CD3F38" w:rsidP="00CD3F38">
      <w:pPr>
        <w:widowControl w:val="0"/>
        <w:shd w:val="clear" w:color="auto" w:fill="FFFFFF"/>
        <w:tabs>
          <w:tab w:val="left" w:pos="1134"/>
        </w:tabs>
        <w:ind w:firstLine="709"/>
        <w:rPr>
          <w:lang w:eastAsia="en-US"/>
        </w:rPr>
      </w:pPr>
      <w:r w:rsidRPr="00B35439">
        <w:rPr>
          <w:lang w:eastAsia="en-US"/>
        </w:rPr>
        <w:t>добровільного страхування повітряного транспорту;</w:t>
      </w:r>
    </w:p>
    <w:p w14:paraId="52BFE560" w14:textId="77777777" w:rsidR="00CD3F38" w:rsidRPr="00B35439" w:rsidRDefault="00CD3F38" w:rsidP="00CD3F38">
      <w:pPr>
        <w:widowControl w:val="0"/>
        <w:shd w:val="clear" w:color="auto" w:fill="FFFFFF"/>
        <w:tabs>
          <w:tab w:val="left" w:pos="1134"/>
        </w:tabs>
        <w:ind w:firstLine="709"/>
        <w:rPr>
          <w:lang w:eastAsia="en-US"/>
        </w:rPr>
      </w:pPr>
      <w:r w:rsidRPr="00B35439">
        <w:rPr>
          <w:lang w:eastAsia="en-US"/>
        </w:rPr>
        <w:t>добровільного страхування відповідальності власників повітряного транспорту (включаючи відповідальність перевізника);</w:t>
      </w:r>
    </w:p>
    <w:p w14:paraId="26CF853E" w14:textId="77777777" w:rsidR="00CD3F38" w:rsidRPr="00B35439" w:rsidRDefault="00CD3F38" w:rsidP="00CD3F38">
      <w:pPr>
        <w:widowControl w:val="0"/>
        <w:shd w:val="clear" w:color="auto" w:fill="FFFFFF"/>
        <w:tabs>
          <w:tab w:val="left" w:pos="1134"/>
        </w:tabs>
        <w:ind w:firstLine="709"/>
        <w:rPr>
          <w:lang w:eastAsia="en-US"/>
        </w:rPr>
      </w:pPr>
      <w:r w:rsidRPr="00B35439">
        <w:rPr>
          <w:lang w:eastAsia="en-US"/>
        </w:rPr>
        <w:t>добровільного страхування водного транспорту (морського внутрішнього та інших видів водного транспорту);</w:t>
      </w:r>
    </w:p>
    <w:p w14:paraId="02376E8C" w14:textId="77777777" w:rsidR="00CD3F38" w:rsidRPr="00B35439" w:rsidRDefault="00CD3F38" w:rsidP="00CD3F38">
      <w:pPr>
        <w:widowControl w:val="0"/>
        <w:shd w:val="clear" w:color="auto" w:fill="FFFFFF"/>
        <w:tabs>
          <w:tab w:val="left" w:pos="1134"/>
        </w:tabs>
        <w:ind w:firstLine="709"/>
        <w:rPr>
          <w:lang w:eastAsia="en-US"/>
        </w:rPr>
      </w:pPr>
      <w:r w:rsidRPr="00B35439">
        <w:rPr>
          <w:lang w:eastAsia="en-US"/>
        </w:rPr>
        <w:t>обов’язкового страхування цивільно-правової відповідальності власників наземних транспортних засобів;</w:t>
      </w:r>
    </w:p>
    <w:p w14:paraId="2398AE3A" w14:textId="77777777" w:rsidR="00CD3F38" w:rsidRPr="00B35439" w:rsidRDefault="00CD3F38" w:rsidP="00CD3F38">
      <w:pPr>
        <w:widowControl w:val="0"/>
        <w:shd w:val="clear" w:color="auto" w:fill="FFFFFF"/>
        <w:tabs>
          <w:tab w:val="left" w:pos="1134"/>
        </w:tabs>
        <w:ind w:firstLine="709"/>
        <w:rPr>
          <w:lang w:eastAsia="en-US"/>
        </w:rPr>
      </w:pPr>
      <w:r w:rsidRPr="00B35439">
        <w:rPr>
          <w:lang w:eastAsia="en-US"/>
        </w:rPr>
        <w:t>добровільного страхування сільськогосподарської продукції;</w:t>
      </w:r>
    </w:p>
    <w:p w14:paraId="3360B7D9" w14:textId="77777777" w:rsidR="00CD3F38" w:rsidRPr="00B35439" w:rsidRDefault="00CD3F38" w:rsidP="00CD3F38">
      <w:pPr>
        <w:widowControl w:val="0"/>
        <w:shd w:val="clear" w:color="auto" w:fill="FFFFFF"/>
        <w:tabs>
          <w:tab w:val="left" w:pos="1134"/>
        </w:tabs>
        <w:ind w:firstLine="709"/>
        <w:rPr>
          <w:lang w:eastAsia="en-US"/>
        </w:rPr>
      </w:pPr>
      <w:r w:rsidRPr="00B35439">
        <w:rPr>
          <w:lang w:eastAsia="en-US"/>
        </w:rPr>
        <w:t>добровільного страхування наземного транспорту (крім залізничного);</w:t>
      </w:r>
    </w:p>
    <w:p w14:paraId="2079C2F8" w14:textId="77777777" w:rsidR="00CD3F38" w:rsidRPr="00B35439" w:rsidRDefault="00CD3F38" w:rsidP="00CD3F38">
      <w:pPr>
        <w:widowControl w:val="0"/>
        <w:shd w:val="clear" w:color="auto" w:fill="FFFFFF"/>
        <w:tabs>
          <w:tab w:val="left" w:pos="1134"/>
        </w:tabs>
        <w:ind w:firstLine="709"/>
        <w:rPr>
          <w:lang w:eastAsia="en-US"/>
        </w:rPr>
      </w:pPr>
      <w:r w:rsidRPr="00B35439">
        <w:rPr>
          <w:lang w:eastAsia="en-US"/>
        </w:rPr>
        <w:t>добровільного медичного страхування (безперервного страхування здоров’я);</w:t>
      </w:r>
    </w:p>
    <w:p w14:paraId="7A397457" w14:textId="77777777" w:rsidR="00CD3F38" w:rsidRPr="00B35439" w:rsidRDefault="00CD3F38" w:rsidP="00CD3F38">
      <w:pPr>
        <w:widowControl w:val="0"/>
        <w:shd w:val="clear" w:color="auto" w:fill="FFFFFF"/>
        <w:tabs>
          <w:tab w:val="left" w:pos="1134"/>
        </w:tabs>
        <w:ind w:firstLine="709"/>
        <w:contextualSpacing/>
        <w:rPr>
          <w:lang w:eastAsia="en-US"/>
        </w:rPr>
      </w:pPr>
    </w:p>
    <w:p w14:paraId="09311C0E" w14:textId="77777777" w:rsidR="00CD3F38" w:rsidRPr="00B35439" w:rsidRDefault="00CD3F38" w:rsidP="00CD3F38">
      <w:pPr>
        <w:widowControl w:val="0"/>
        <w:numPr>
          <w:ilvl w:val="0"/>
          <w:numId w:val="8"/>
        </w:numPr>
        <w:shd w:val="clear" w:color="auto" w:fill="FFFFFF"/>
        <w:tabs>
          <w:tab w:val="left" w:pos="1134"/>
        </w:tabs>
        <w:ind w:left="0" w:firstLine="709"/>
        <w:contextualSpacing/>
        <w:rPr>
          <w:lang w:eastAsia="en-US"/>
        </w:rPr>
      </w:pPr>
      <w:r w:rsidRPr="00B35439">
        <w:rPr>
          <w:lang w:eastAsia="en-US"/>
        </w:rPr>
        <w:t>основні ризики – страхові ризики договору страхування життя, до яких належать: смерть застрахованої особи, дожиття застрахованої особи до закінчення строку дії договору страхування та (або) досягнення застрахованою особою визначеного договором віку;</w:t>
      </w:r>
    </w:p>
    <w:p w14:paraId="3C0DEEAC" w14:textId="77777777" w:rsidR="00CD3F38" w:rsidRPr="00B35439" w:rsidRDefault="00CD3F38" w:rsidP="00CD3F38">
      <w:pPr>
        <w:widowControl w:val="0"/>
        <w:shd w:val="clear" w:color="auto" w:fill="FFFFFF"/>
        <w:tabs>
          <w:tab w:val="left" w:pos="1134"/>
        </w:tabs>
        <w:ind w:firstLine="709"/>
        <w:contextualSpacing/>
        <w:rPr>
          <w:lang w:eastAsia="en-US"/>
        </w:rPr>
      </w:pPr>
    </w:p>
    <w:p w14:paraId="7D8A0F0D" w14:textId="77777777" w:rsidR="00CD3F38" w:rsidRPr="00B35439" w:rsidRDefault="00CD3F38" w:rsidP="00CD3F38">
      <w:pPr>
        <w:widowControl w:val="0"/>
        <w:numPr>
          <w:ilvl w:val="0"/>
          <w:numId w:val="8"/>
        </w:numPr>
        <w:shd w:val="clear" w:color="auto" w:fill="FFFFFF"/>
        <w:tabs>
          <w:tab w:val="left" w:pos="1134"/>
        </w:tabs>
        <w:ind w:left="0" w:firstLine="709"/>
        <w:contextualSpacing/>
        <w:rPr>
          <w:lang w:eastAsia="en-US"/>
        </w:rPr>
      </w:pPr>
      <w:r w:rsidRPr="00B35439">
        <w:rPr>
          <w:lang w:eastAsia="en-US"/>
        </w:rPr>
        <w:t xml:space="preserve">права вимоги до </w:t>
      </w:r>
      <w:proofErr w:type="spellStart"/>
      <w:r w:rsidRPr="00B35439">
        <w:rPr>
          <w:lang w:eastAsia="en-US"/>
        </w:rPr>
        <w:t>перестраховиків</w:t>
      </w:r>
      <w:proofErr w:type="spellEnd"/>
      <w:r w:rsidRPr="00B35439">
        <w:rPr>
          <w:lang w:eastAsia="en-US"/>
        </w:rPr>
        <w:t xml:space="preserve"> – сума часток </w:t>
      </w:r>
      <w:proofErr w:type="spellStart"/>
      <w:r w:rsidRPr="00B35439">
        <w:rPr>
          <w:lang w:eastAsia="en-US"/>
        </w:rPr>
        <w:t>перестраховиків</w:t>
      </w:r>
      <w:proofErr w:type="spellEnd"/>
      <w:r w:rsidRPr="00B35439">
        <w:rPr>
          <w:lang w:eastAsia="en-US"/>
        </w:rPr>
        <w:t xml:space="preserve"> у страхових резервах, розрахованих відповідно до вимог законодавства України;</w:t>
      </w:r>
    </w:p>
    <w:p w14:paraId="528E8A1F" w14:textId="77777777" w:rsidR="00CD3F38" w:rsidRPr="00B35439" w:rsidRDefault="00CD3F38" w:rsidP="00CD3F38">
      <w:pPr>
        <w:widowControl w:val="0"/>
        <w:shd w:val="clear" w:color="auto" w:fill="FFFFFF"/>
        <w:tabs>
          <w:tab w:val="left" w:pos="1134"/>
        </w:tabs>
        <w:ind w:firstLine="709"/>
        <w:contextualSpacing/>
        <w:rPr>
          <w:lang w:eastAsia="en-US"/>
        </w:rPr>
      </w:pPr>
    </w:p>
    <w:p w14:paraId="4155AEBD" w14:textId="77777777" w:rsidR="00CD3F38" w:rsidRPr="00B35439" w:rsidRDefault="00CD3F38" w:rsidP="00CD3F38">
      <w:pPr>
        <w:widowControl w:val="0"/>
        <w:numPr>
          <w:ilvl w:val="0"/>
          <w:numId w:val="8"/>
        </w:numPr>
        <w:shd w:val="clear" w:color="auto" w:fill="FFFFFF"/>
        <w:tabs>
          <w:tab w:val="left" w:pos="1134"/>
        </w:tabs>
        <w:ind w:left="0" w:firstLine="709"/>
        <w:contextualSpacing/>
        <w:rPr>
          <w:lang w:eastAsia="en-US"/>
        </w:rPr>
      </w:pPr>
      <w:r w:rsidRPr="00B35439">
        <w:rPr>
          <w:lang w:eastAsia="en-US"/>
        </w:rPr>
        <w:t>страхові резерви – величина, яка визначає грошову оцінку зобов’язань та забезпечень страховика за договорами страхування (перестрахування) та інших обов’язкових резервів страховика, розрахована відповідно до вимог законодавства України з метою забезпечення майбутніх страхових виплат залежно від видів страхування;</w:t>
      </w:r>
    </w:p>
    <w:p w14:paraId="0F1D5C95" w14:textId="77777777" w:rsidR="00CD3F38" w:rsidRPr="00B35439" w:rsidRDefault="00CD3F38" w:rsidP="00CD3F38">
      <w:pPr>
        <w:widowControl w:val="0"/>
        <w:tabs>
          <w:tab w:val="left" w:pos="1134"/>
        </w:tabs>
        <w:ind w:firstLine="709"/>
        <w:contextualSpacing/>
        <w:rPr>
          <w:lang w:eastAsia="en-US"/>
        </w:rPr>
      </w:pPr>
    </w:p>
    <w:p w14:paraId="74758463" w14:textId="77777777" w:rsidR="00CD3F38" w:rsidRPr="00B35439" w:rsidRDefault="00CD3F38" w:rsidP="00CD3F38">
      <w:pPr>
        <w:widowControl w:val="0"/>
        <w:numPr>
          <w:ilvl w:val="0"/>
          <w:numId w:val="8"/>
        </w:numPr>
        <w:shd w:val="clear" w:color="auto" w:fill="FFFFFF"/>
        <w:tabs>
          <w:tab w:val="left" w:pos="1134"/>
        </w:tabs>
        <w:ind w:left="0" w:firstLine="709"/>
        <w:contextualSpacing/>
        <w:rPr>
          <w:lang w:eastAsia="en-US"/>
        </w:rPr>
      </w:pPr>
      <w:proofErr w:type="spellStart"/>
      <w:r w:rsidRPr="00B35439">
        <w:rPr>
          <w:lang w:eastAsia="en-US"/>
        </w:rPr>
        <w:t>субординований</w:t>
      </w:r>
      <w:proofErr w:type="spellEnd"/>
      <w:r w:rsidRPr="00B35439">
        <w:rPr>
          <w:lang w:eastAsia="en-US"/>
        </w:rPr>
        <w:t xml:space="preserve"> борг – кошти, залучені страховиком від юридичних і фізичних осіб як резидентів, так і нерезидентів (далі – інвестор) у формі позики, які можуть бути враховані при визначенні дотримання страховиком нормативу платоспроможності та достатності капіталу, за умови, якщо:</w:t>
      </w:r>
    </w:p>
    <w:p w14:paraId="5B64B603" w14:textId="77777777" w:rsidR="00CD3F38" w:rsidRPr="00B35439" w:rsidRDefault="00CD3F38" w:rsidP="00CD3F38">
      <w:pPr>
        <w:widowControl w:val="0"/>
        <w:shd w:val="clear" w:color="auto" w:fill="FFFFFF"/>
        <w:tabs>
          <w:tab w:val="left" w:pos="1134"/>
        </w:tabs>
        <w:ind w:firstLine="709"/>
        <w:rPr>
          <w:lang w:eastAsia="en-US"/>
        </w:rPr>
      </w:pPr>
      <w:r w:rsidRPr="00B35439">
        <w:rPr>
          <w:lang w:eastAsia="en-US"/>
        </w:rPr>
        <w:t xml:space="preserve">позика не може бути повернута надавачем фінансових послуг інвестору раніше 5 років, а у випадку банкрутства чи ліквідації надавача фінансових послуг повертається інвестору після погашення претензій всіх інших </w:t>
      </w:r>
      <w:r w:rsidRPr="00B35439">
        <w:rPr>
          <w:shd w:val="clear" w:color="auto" w:fill="FFFFFF"/>
        </w:rPr>
        <w:t>кредиторів</w:t>
      </w:r>
      <w:r w:rsidRPr="00B35439">
        <w:rPr>
          <w:lang w:eastAsia="en-US"/>
        </w:rPr>
        <w:t>;</w:t>
      </w:r>
    </w:p>
    <w:p w14:paraId="41A7683B" w14:textId="77777777" w:rsidR="00CD3F38" w:rsidRPr="00B35439" w:rsidRDefault="00CD3F38" w:rsidP="00CD3F38">
      <w:pPr>
        <w:widowControl w:val="0"/>
        <w:shd w:val="clear" w:color="auto" w:fill="FFFFFF"/>
        <w:tabs>
          <w:tab w:val="left" w:pos="1134"/>
        </w:tabs>
        <w:ind w:firstLine="709"/>
        <w:rPr>
          <w:lang w:eastAsia="en-US"/>
        </w:rPr>
      </w:pPr>
      <w:r w:rsidRPr="00B35439">
        <w:rPr>
          <w:lang w:eastAsia="en-US"/>
        </w:rPr>
        <w:t xml:space="preserve">умови отримання такої позики відповідають вимогам, визначеним в цьому Положенні для врахування коштів </w:t>
      </w:r>
      <w:r w:rsidRPr="00B35439">
        <w:rPr>
          <w:shd w:val="clear" w:color="auto" w:fill="FFFFFF"/>
        </w:rPr>
        <w:t xml:space="preserve">субординованого боргу </w:t>
      </w:r>
      <w:r w:rsidRPr="00B35439">
        <w:rPr>
          <w:lang w:eastAsia="en-US"/>
        </w:rPr>
        <w:t>при визначенні дотримання страховиком нормативу платоспроможності та достатності капіталу;</w:t>
      </w:r>
    </w:p>
    <w:p w14:paraId="4E5682CA" w14:textId="77777777" w:rsidR="00CD3F38" w:rsidRPr="00B35439" w:rsidRDefault="00CD3F38" w:rsidP="00CD3F38">
      <w:pPr>
        <w:widowControl w:val="0"/>
        <w:shd w:val="clear" w:color="auto" w:fill="FFFFFF"/>
        <w:tabs>
          <w:tab w:val="left" w:pos="1134"/>
        </w:tabs>
        <w:ind w:firstLine="709"/>
        <w:rPr>
          <w:lang w:eastAsia="en-US"/>
        </w:rPr>
      </w:pPr>
      <w:r w:rsidRPr="00B35439">
        <w:rPr>
          <w:lang w:eastAsia="en-US"/>
        </w:rPr>
        <w:t>врахування позики при визначенні дотримання нормативу платоспроможності та достатності капіталу було погоджено з Національним банком згідно визначеного в цьому Положенні порядку;</w:t>
      </w:r>
    </w:p>
    <w:p w14:paraId="67E453AD" w14:textId="77777777" w:rsidR="00CD3F38" w:rsidRPr="00B35439" w:rsidRDefault="00CD3F38" w:rsidP="00CD3F38">
      <w:pPr>
        <w:widowControl w:val="0"/>
        <w:shd w:val="clear" w:color="auto" w:fill="FFFFFF"/>
        <w:tabs>
          <w:tab w:val="left" w:pos="1134"/>
        </w:tabs>
        <w:ind w:firstLine="709"/>
        <w:contextualSpacing/>
        <w:rPr>
          <w:lang w:eastAsia="en-US"/>
        </w:rPr>
      </w:pPr>
    </w:p>
    <w:p w14:paraId="3D6AFAF3" w14:textId="77777777" w:rsidR="00CD3F38" w:rsidRPr="00B35439" w:rsidRDefault="00CD3F38" w:rsidP="00CD3F38">
      <w:pPr>
        <w:widowControl w:val="0"/>
        <w:numPr>
          <w:ilvl w:val="0"/>
          <w:numId w:val="8"/>
        </w:numPr>
        <w:shd w:val="clear" w:color="auto" w:fill="FFFFFF"/>
        <w:tabs>
          <w:tab w:val="left" w:pos="1134"/>
        </w:tabs>
        <w:ind w:left="0" w:firstLine="709"/>
        <w:contextualSpacing/>
        <w:rPr>
          <w:lang w:eastAsia="en-US"/>
        </w:rPr>
      </w:pPr>
      <w:r w:rsidRPr="00B35439">
        <w:rPr>
          <w:lang w:eastAsia="en-US"/>
        </w:rPr>
        <w:t>сума прийнятних активів – сукупна вартість активів страховика, які відповідають вимогам, обмеженням та виняткам,</w:t>
      </w:r>
      <w:r w:rsidRPr="00B35439">
        <w:rPr>
          <w:sz w:val="24"/>
        </w:rPr>
        <w:t xml:space="preserve"> </w:t>
      </w:r>
      <w:r w:rsidRPr="00B35439">
        <w:rPr>
          <w:lang w:eastAsia="en-US"/>
        </w:rPr>
        <w:t>установленим у цьому Положенні, яка визначається у національній валюті відповідно до вимог міжнародних стандартів бухгалтерського обліку та фінансової звітності</w:t>
      </w:r>
      <w:r w:rsidRPr="00B35439">
        <w:rPr>
          <w:rFonts w:eastAsia="Calibri"/>
          <w:sz w:val="22"/>
        </w:rPr>
        <w:t xml:space="preserve">. </w:t>
      </w:r>
    </w:p>
    <w:p w14:paraId="4C2A13B8" w14:textId="7FA53C94" w:rsidR="00CD3F38" w:rsidRPr="00B35439" w:rsidRDefault="00CD3F38" w:rsidP="00CD3F38">
      <w:pPr>
        <w:widowControl w:val="0"/>
        <w:shd w:val="clear" w:color="auto" w:fill="FFFFFF"/>
        <w:tabs>
          <w:tab w:val="left" w:pos="0"/>
          <w:tab w:val="left" w:pos="1134"/>
        </w:tabs>
        <w:ind w:firstLine="709"/>
      </w:pPr>
      <w:r w:rsidRPr="00B35439">
        <w:t>Терміни “</w:t>
      </w:r>
      <w:proofErr w:type="spellStart"/>
      <w:r w:rsidRPr="00B35439">
        <w:rPr>
          <w:lang w:eastAsia="en-US"/>
        </w:rPr>
        <w:t>аквізиційні</w:t>
      </w:r>
      <w:proofErr w:type="spellEnd"/>
      <w:r w:rsidRPr="00B35439">
        <w:rPr>
          <w:lang w:eastAsia="en-US"/>
        </w:rPr>
        <w:t xml:space="preserve"> витрати</w:t>
      </w:r>
      <w:r w:rsidRPr="00B35439">
        <w:t>”, “</w:t>
      </w:r>
      <w:r w:rsidRPr="00B35439">
        <w:rPr>
          <w:lang w:eastAsia="en-US"/>
        </w:rPr>
        <w:t>витрати на врегулювання збитків</w:t>
      </w:r>
      <w:r w:rsidRPr="00B35439">
        <w:t>”, “</w:t>
      </w:r>
      <w:r w:rsidRPr="00B35439">
        <w:rPr>
          <w:lang w:eastAsia="en-US"/>
        </w:rPr>
        <w:t xml:space="preserve">відстрочені </w:t>
      </w:r>
      <w:proofErr w:type="spellStart"/>
      <w:r w:rsidRPr="00B35439">
        <w:rPr>
          <w:lang w:eastAsia="en-US"/>
        </w:rPr>
        <w:t>аквізиційні</w:t>
      </w:r>
      <w:proofErr w:type="spellEnd"/>
      <w:r w:rsidRPr="00B35439">
        <w:rPr>
          <w:lang w:eastAsia="en-US"/>
        </w:rPr>
        <w:t xml:space="preserve"> витрати</w:t>
      </w:r>
      <w:r w:rsidRPr="00B35439">
        <w:t>”, “</w:t>
      </w:r>
      <w:r w:rsidRPr="00B35439">
        <w:rPr>
          <w:lang w:eastAsia="en-US"/>
        </w:rPr>
        <w:t xml:space="preserve">надходження сум страхових </w:t>
      </w:r>
      <w:r w:rsidR="00825CC3" w:rsidRPr="00B35439">
        <w:rPr>
          <w:lang w:eastAsia="en-US"/>
        </w:rPr>
        <w:t>платежів</w:t>
      </w:r>
      <w:r w:rsidRPr="00B35439">
        <w:t>”</w:t>
      </w:r>
      <w:r w:rsidR="000B692B" w:rsidRPr="00B35439">
        <w:t>, “строк страхового покриття”</w:t>
      </w:r>
      <w:r w:rsidRPr="00B35439">
        <w:t xml:space="preserve"> вживаються у значеннях, визначених у </w:t>
      </w:r>
      <w:r w:rsidRPr="00B35439">
        <w:rPr>
          <w:lang w:eastAsia="en-US"/>
        </w:rPr>
        <w:t>Методиці формування страхових резервів за видами страхування, іншими, ніж страхування життя, затверджен</w:t>
      </w:r>
      <w:r w:rsidR="00B21795">
        <w:rPr>
          <w:lang w:eastAsia="en-US"/>
        </w:rPr>
        <w:t>ій</w:t>
      </w:r>
      <w:r w:rsidRPr="00B35439">
        <w:rPr>
          <w:lang w:eastAsia="en-US"/>
        </w:rPr>
        <w:t xml:space="preserve"> розпорядженням Державної комісії з регулювання ринків фінансових послуг України від 17 грудня 2004 року № 3104, зареєстрованої в Міністерстві юстиції України 10 січня 2005 року за № 19/10299 (у редакції розпорядження Національної комісії, що здійснює державне регулювання у сфері ринків фінансових послуг, від 18 вересня 2018 року № 1638) (зі змінами) (далі – Методика).</w:t>
      </w:r>
    </w:p>
    <w:p w14:paraId="054352B6" w14:textId="77777777" w:rsidR="00CD3F38" w:rsidRPr="00B35439" w:rsidRDefault="00CD3F38" w:rsidP="00CD3F38">
      <w:pPr>
        <w:widowControl w:val="0"/>
        <w:shd w:val="clear" w:color="auto" w:fill="FFFFFF"/>
        <w:tabs>
          <w:tab w:val="left" w:pos="0"/>
          <w:tab w:val="left" w:pos="1134"/>
        </w:tabs>
        <w:ind w:firstLine="709"/>
      </w:pPr>
      <w:r w:rsidRPr="00B35439">
        <w:t>Термін “пов'язана особа” вживається у значенні, визначеному у Законі про фінансові послуги.</w:t>
      </w:r>
    </w:p>
    <w:p w14:paraId="02C8D3EE" w14:textId="77777777" w:rsidR="00CD3F38" w:rsidRPr="00B35439" w:rsidRDefault="00CD3F38" w:rsidP="00CD3F38">
      <w:pPr>
        <w:widowControl w:val="0"/>
        <w:shd w:val="clear" w:color="auto" w:fill="FFFFFF"/>
        <w:tabs>
          <w:tab w:val="left" w:pos="0"/>
          <w:tab w:val="left" w:pos="1134"/>
        </w:tabs>
        <w:ind w:firstLine="709"/>
        <w:rPr>
          <w:lang w:eastAsia="en-US"/>
        </w:rPr>
      </w:pPr>
      <w:r w:rsidRPr="00B35439">
        <w:rPr>
          <w:lang w:eastAsia="en-US"/>
        </w:rPr>
        <w:t xml:space="preserve">Інші терміни, які використовуються в цьому Положенні, уживаються в значеннях, визначених у Законі про фінансові послуги, Законі про страхування </w:t>
      </w:r>
      <w:r w:rsidRPr="00B35439">
        <w:rPr>
          <w:lang w:eastAsia="en-US"/>
        </w:rPr>
        <w:lastRenderedPageBreak/>
        <w:t>та інших нормативно-правових актах з питань регулювання страхової діяльності.</w:t>
      </w:r>
    </w:p>
    <w:p w14:paraId="6D7713B2" w14:textId="77777777" w:rsidR="00CD3F38" w:rsidRPr="00B35439" w:rsidRDefault="00CD3F38" w:rsidP="00CD3F38">
      <w:pPr>
        <w:widowControl w:val="0"/>
        <w:shd w:val="clear" w:color="auto" w:fill="FFFFFF"/>
        <w:tabs>
          <w:tab w:val="left" w:pos="0"/>
          <w:tab w:val="left" w:pos="1134"/>
        </w:tabs>
        <w:ind w:firstLine="709"/>
        <w:rPr>
          <w:lang w:eastAsia="en-US"/>
        </w:rPr>
      </w:pPr>
    </w:p>
    <w:p w14:paraId="0C3B8363" w14:textId="77777777" w:rsidR="00CD3F38" w:rsidRPr="00B35439" w:rsidRDefault="00CD3F38" w:rsidP="00CD3F38">
      <w:pPr>
        <w:widowControl w:val="0"/>
        <w:numPr>
          <w:ilvl w:val="0"/>
          <w:numId w:val="4"/>
        </w:numPr>
        <w:tabs>
          <w:tab w:val="left" w:pos="1134"/>
        </w:tabs>
        <w:ind w:left="0" w:firstLine="709"/>
        <w:outlineLvl w:val="1"/>
        <w:rPr>
          <w:rFonts w:eastAsiaTheme="majorEastAsia" w:cstheme="majorBidi"/>
          <w:szCs w:val="26"/>
        </w:rPr>
      </w:pPr>
      <w:r w:rsidRPr="00B35439">
        <w:rPr>
          <w:rFonts w:eastAsiaTheme="majorEastAsia" w:cstheme="majorBidi"/>
          <w:szCs w:val="26"/>
        </w:rPr>
        <w:t>Страховик зобов’язаний на будь-яку дату дотримуватися нормативу платоспроможності та достатності капіталу, нормативу ризиковості операцій та нормативу якості активів.</w:t>
      </w:r>
    </w:p>
    <w:p w14:paraId="622C30C6" w14:textId="5B84215C" w:rsidR="00CD3F38" w:rsidRPr="00B35439" w:rsidRDefault="00CD3F38" w:rsidP="00CD3F38">
      <w:pPr>
        <w:widowControl w:val="0"/>
        <w:shd w:val="clear" w:color="auto" w:fill="FFFFFF"/>
        <w:tabs>
          <w:tab w:val="left" w:pos="0"/>
          <w:tab w:val="left" w:pos="1134"/>
        </w:tabs>
        <w:ind w:firstLine="709"/>
      </w:pPr>
      <w:r w:rsidRPr="00B35439">
        <w:t xml:space="preserve">Страховик для </w:t>
      </w:r>
      <w:r w:rsidRPr="00B35439">
        <w:rPr>
          <w:lang w:eastAsia="en-US"/>
        </w:rPr>
        <w:t xml:space="preserve">визначення </w:t>
      </w:r>
      <w:r w:rsidRPr="00B35439">
        <w:t>дотримання таких нормативів розраховує суму прийнятних активів для кожного нормативу та значення цих нормативів відповідно до вимог цього Положення.</w:t>
      </w:r>
    </w:p>
    <w:p w14:paraId="54580487" w14:textId="77777777" w:rsidR="00CD3F38" w:rsidRPr="00B35439" w:rsidRDefault="00CD3F38" w:rsidP="00CD3F38">
      <w:pPr>
        <w:widowControl w:val="0"/>
        <w:shd w:val="clear" w:color="auto" w:fill="FFFFFF"/>
        <w:tabs>
          <w:tab w:val="left" w:pos="0"/>
          <w:tab w:val="left" w:pos="1134"/>
        </w:tabs>
        <w:ind w:firstLine="709"/>
        <w:rPr>
          <w:lang w:eastAsia="en-US"/>
        </w:rPr>
      </w:pPr>
    </w:p>
    <w:p w14:paraId="4FB29EC3" w14:textId="77777777" w:rsidR="00CD3F38" w:rsidRPr="00B35439" w:rsidRDefault="00CD3F38" w:rsidP="00CD3F38">
      <w:pPr>
        <w:widowControl w:val="0"/>
        <w:numPr>
          <w:ilvl w:val="0"/>
          <w:numId w:val="3"/>
        </w:numPr>
        <w:shd w:val="clear" w:color="auto" w:fill="FFFFFF"/>
        <w:tabs>
          <w:tab w:val="left" w:pos="1134"/>
          <w:tab w:val="left" w:pos="1276"/>
        </w:tabs>
        <w:ind w:left="0" w:firstLine="709"/>
        <w:contextualSpacing/>
        <w:jc w:val="center"/>
        <w:outlineLvl w:val="0"/>
        <w:rPr>
          <w:bCs/>
          <w:lang w:eastAsia="en-US"/>
        </w:rPr>
      </w:pPr>
      <w:bookmarkStart w:id="21" w:name="n29"/>
      <w:bookmarkStart w:id="22" w:name="n30"/>
      <w:bookmarkStart w:id="23" w:name="n34"/>
      <w:bookmarkStart w:id="24" w:name="n259"/>
      <w:bookmarkStart w:id="25" w:name="n40"/>
      <w:bookmarkEnd w:id="21"/>
      <w:bookmarkEnd w:id="22"/>
      <w:bookmarkEnd w:id="23"/>
      <w:bookmarkEnd w:id="24"/>
      <w:bookmarkEnd w:id="25"/>
      <w:r w:rsidRPr="00B35439">
        <w:rPr>
          <w:bCs/>
          <w:lang w:eastAsia="en-US"/>
        </w:rPr>
        <w:t>Прийнятні активи</w:t>
      </w:r>
    </w:p>
    <w:p w14:paraId="12817203" w14:textId="77777777" w:rsidR="00CD3F38" w:rsidRPr="00B35439" w:rsidRDefault="00CD3F38" w:rsidP="00CD3F38">
      <w:pPr>
        <w:widowControl w:val="0"/>
        <w:shd w:val="clear" w:color="auto" w:fill="FFFFFF"/>
        <w:tabs>
          <w:tab w:val="left" w:pos="0"/>
          <w:tab w:val="left" w:pos="1134"/>
        </w:tabs>
        <w:ind w:firstLine="709"/>
        <w:rPr>
          <w:lang w:eastAsia="en-US"/>
        </w:rPr>
      </w:pPr>
      <w:bookmarkStart w:id="26" w:name="n41"/>
      <w:bookmarkStart w:id="27" w:name="n42"/>
      <w:bookmarkEnd w:id="26"/>
      <w:bookmarkEnd w:id="27"/>
    </w:p>
    <w:p w14:paraId="011C9D0C" w14:textId="13401399" w:rsidR="00CD3F38" w:rsidRPr="00B35439" w:rsidRDefault="00CD3F38" w:rsidP="00CD3F38">
      <w:pPr>
        <w:widowControl w:val="0"/>
        <w:numPr>
          <w:ilvl w:val="0"/>
          <w:numId w:val="4"/>
        </w:numPr>
        <w:tabs>
          <w:tab w:val="left" w:pos="1134"/>
        </w:tabs>
        <w:ind w:left="0" w:firstLine="709"/>
        <w:outlineLvl w:val="1"/>
        <w:rPr>
          <w:rFonts w:eastAsiaTheme="majorEastAsia" w:cstheme="majorBidi"/>
          <w:szCs w:val="26"/>
        </w:rPr>
      </w:pPr>
      <w:r w:rsidRPr="00B35439">
        <w:rPr>
          <w:rFonts w:eastAsiaTheme="majorEastAsia" w:cstheme="majorBidi"/>
          <w:szCs w:val="26"/>
        </w:rPr>
        <w:t>Сума прийнятних активів може включати активи, перелік та обмеження до яких встановлені</w:t>
      </w:r>
      <w:r w:rsidRPr="00B35439">
        <w:rPr>
          <w:rFonts w:eastAsiaTheme="majorEastAsia"/>
          <w:lang w:eastAsia="en-US"/>
        </w:rPr>
        <w:t xml:space="preserve"> у пунктах</w:t>
      </w:r>
      <w:r w:rsidR="00F66D2E" w:rsidRPr="00B35439">
        <w:rPr>
          <w:rFonts w:eastAsiaTheme="majorEastAsia"/>
          <w:lang w:eastAsia="en-US"/>
        </w:rPr>
        <w:t xml:space="preserve"> </w:t>
      </w:r>
      <w:r w:rsidR="00825CC3" w:rsidRPr="00B35439">
        <w:rPr>
          <w:rFonts w:eastAsiaTheme="majorEastAsia"/>
          <w:lang w:eastAsia="en-US"/>
        </w:rPr>
        <w:t>6</w:t>
      </w:r>
      <w:r w:rsidRPr="00B35439">
        <w:rPr>
          <w:rFonts w:eastAsiaTheme="majorEastAsia"/>
          <w:lang w:eastAsia="en-US"/>
        </w:rPr>
        <w:t xml:space="preserve"> – </w:t>
      </w:r>
      <w:r w:rsidR="004B291D" w:rsidRPr="00B35439">
        <w:rPr>
          <w:rFonts w:eastAsiaTheme="majorEastAsia"/>
          <w:lang w:eastAsia="en-US"/>
        </w:rPr>
        <w:t>20</w:t>
      </w:r>
      <w:r w:rsidRPr="00B35439">
        <w:rPr>
          <w:rFonts w:eastAsiaTheme="majorEastAsia"/>
          <w:lang w:eastAsia="en-US"/>
        </w:rPr>
        <w:t xml:space="preserve"> розділу ІІ цього Положення.</w:t>
      </w:r>
    </w:p>
    <w:p w14:paraId="41C18E9B" w14:textId="77777777" w:rsidR="00CD3F38" w:rsidRPr="00B35439" w:rsidRDefault="00CD3F38" w:rsidP="00CD3F38">
      <w:pPr>
        <w:widowControl w:val="0"/>
        <w:shd w:val="clear" w:color="auto" w:fill="FFFFFF"/>
        <w:tabs>
          <w:tab w:val="left" w:pos="1134"/>
        </w:tabs>
        <w:ind w:firstLine="709"/>
        <w:rPr>
          <w:lang w:eastAsia="en-US"/>
        </w:rPr>
      </w:pPr>
    </w:p>
    <w:p w14:paraId="62E1F2B5" w14:textId="77777777" w:rsidR="00825CC3" w:rsidRPr="00B35439" w:rsidRDefault="00825CC3" w:rsidP="00825CC3">
      <w:pPr>
        <w:widowControl w:val="0"/>
        <w:numPr>
          <w:ilvl w:val="0"/>
          <w:numId w:val="4"/>
        </w:numPr>
        <w:tabs>
          <w:tab w:val="left" w:pos="1134"/>
        </w:tabs>
        <w:ind w:left="0" w:firstLine="709"/>
        <w:outlineLvl w:val="1"/>
        <w:rPr>
          <w:rFonts w:eastAsiaTheme="majorEastAsia" w:cstheme="majorBidi"/>
          <w:szCs w:val="26"/>
        </w:rPr>
      </w:pPr>
      <w:bookmarkStart w:id="28" w:name="n43"/>
      <w:bookmarkStart w:id="29" w:name="n79"/>
      <w:bookmarkStart w:id="30" w:name="n80"/>
      <w:bookmarkStart w:id="31" w:name="n81"/>
      <w:bookmarkStart w:id="32" w:name="n82"/>
      <w:bookmarkStart w:id="33" w:name="n83"/>
      <w:bookmarkStart w:id="34" w:name="n260"/>
      <w:bookmarkStart w:id="35" w:name="n45"/>
      <w:bookmarkStart w:id="36" w:name="n46"/>
      <w:bookmarkEnd w:id="28"/>
      <w:bookmarkEnd w:id="29"/>
      <w:bookmarkEnd w:id="30"/>
      <w:bookmarkEnd w:id="31"/>
      <w:bookmarkEnd w:id="32"/>
      <w:bookmarkEnd w:id="33"/>
      <w:bookmarkEnd w:id="34"/>
      <w:bookmarkEnd w:id="35"/>
      <w:bookmarkEnd w:id="36"/>
      <w:r w:rsidRPr="00B35439">
        <w:rPr>
          <w:rFonts w:eastAsiaTheme="majorEastAsia" w:cstheme="majorBidi"/>
          <w:szCs w:val="26"/>
        </w:rPr>
        <w:t>Грошові кошти на поточному рахунку, кошти на рахунках умовного зберігання (</w:t>
      </w:r>
      <w:proofErr w:type="spellStart"/>
      <w:r w:rsidRPr="00B35439">
        <w:rPr>
          <w:rFonts w:eastAsiaTheme="majorEastAsia" w:cstheme="majorBidi"/>
          <w:szCs w:val="26"/>
        </w:rPr>
        <w:t>ескроу</w:t>
      </w:r>
      <w:proofErr w:type="spellEnd"/>
      <w:r w:rsidRPr="00B35439">
        <w:rPr>
          <w:rFonts w:eastAsiaTheme="majorEastAsia" w:cstheme="majorBidi"/>
          <w:szCs w:val="26"/>
        </w:rPr>
        <w:t>) та банківські вклади (депозити), дебіторська заборгованість за нарахованими відсотками за такими рахунками та вкладами (депозитами), включаються до суми прийнятних активів з урахуванням наступних обмежень:</w:t>
      </w:r>
    </w:p>
    <w:p w14:paraId="1128E266" w14:textId="77777777" w:rsidR="00825CC3" w:rsidRPr="00B35439" w:rsidRDefault="00825CC3" w:rsidP="00825CC3">
      <w:pPr>
        <w:widowControl w:val="0"/>
        <w:shd w:val="clear" w:color="auto" w:fill="FFFFFF"/>
        <w:tabs>
          <w:tab w:val="left" w:pos="1134"/>
        </w:tabs>
        <w:ind w:firstLine="709"/>
        <w:contextualSpacing/>
        <w:rPr>
          <w:lang w:eastAsia="en-US"/>
        </w:rPr>
      </w:pPr>
    </w:p>
    <w:p w14:paraId="688211F5" w14:textId="77777777" w:rsidR="00825CC3" w:rsidRPr="00B35439" w:rsidRDefault="00825CC3" w:rsidP="00825CC3">
      <w:pPr>
        <w:widowControl w:val="0"/>
        <w:numPr>
          <w:ilvl w:val="0"/>
          <w:numId w:val="21"/>
        </w:numPr>
        <w:shd w:val="clear" w:color="auto" w:fill="FFFFFF"/>
        <w:tabs>
          <w:tab w:val="left" w:pos="1134"/>
        </w:tabs>
        <w:ind w:left="0" w:firstLine="709"/>
        <w:contextualSpacing/>
        <w:rPr>
          <w:lang w:eastAsia="en-US"/>
        </w:rPr>
      </w:pPr>
      <w:r w:rsidRPr="00B35439">
        <w:rPr>
          <w:lang w:eastAsia="en-US"/>
        </w:rPr>
        <w:t>кошти, розміщені в банку-</w:t>
      </w:r>
      <w:proofErr w:type="spellStart"/>
      <w:r w:rsidRPr="00B35439">
        <w:rPr>
          <w:lang w:eastAsia="en-US"/>
        </w:rPr>
        <w:t>резиденті</w:t>
      </w:r>
      <w:proofErr w:type="spellEnd"/>
      <w:r w:rsidRPr="00B35439">
        <w:rPr>
          <w:lang w:eastAsia="en-US"/>
        </w:rPr>
        <w:t>, який станом на дату розрахунку величини прийнятних активів виконує усі економічні нормативи, встановлені для банків законодавством України з регулювання банківської діяльності;</w:t>
      </w:r>
    </w:p>
    <w:p w14:paraId="60F7D8F7" w14:textId="77777777" w:rsidR="00825CC3" w:rsidRPr="00B35439" w:rsidRDefault="00825CC3" w:rsidP="00825CC3">
      <w:pPr>
        <w:widowControl w:val="0"/>
        <w:shd w:val="clear" w:color="auto" w:fill="FFFFFF"/>
        <w:tabs>
          <w:tab w:val="left" w:pos="1134"/>
        </w:tabs>
        <w:ind w:firstLine="709"/>
        <w:contextualSpacing/>
        <w:rPr>
          <w:lang w:eastAsia="en-US"/>
        </w:rPr>
      </w:pPr>
    </w:p>
    <w:p w14:paraId="1F4B6A54" w14:textId="77777777" w:rsidR="00825CC3" w:rsidRPr="00B35439" w:rsidRDefault="00825CC3" w:rsidP="00825CC3">
      <w:pPr>
        <w:widowControl w:val="0"/>
        <w:numPr>
          <w:ilvl w:val="0"/>
          <w:numId w:val="21"/>
        </w:numPr>
        <w:shd w:val="clear" w:color="auto" w:fill="FFFFFF"/>
        <w:tabs>
          <w:tab w:val="left" w:pos="1134"/>
        </w:tabs>
        <w:ind w:left="0" w:firstLine="709"/>
        <w:contextualSpacing/>
        <w:rPr>
          <w:lang w:eastAsia="en-US"/>
        </w:rPr>
      </w:pPr>
      <w:r w:rsidRPr="00B35439">
        <w:rPr>
          <w:lang w:eastAsia="en-US"/>
        </w:rPr>
        <w:t>кошти, розміщені в банку-нерезиденті, за умови, що один із рейтингів банку в національній валюті або в іноземній валюті, за короткостроковими зобов’язаннями або за довгостроковими зобов’язаннями банку не нижче одного з таких:</w:t>
      </w:r>
    </w:p>
    <w:p w14:paraId="2B3ACFE4" w14:textId="77777777" w:rsidR="00825CC3" w:rsidRPr="00B35439" w:rsidRDefault="00825CC3" w:rsidP="00825CC3">
      <w:pPr>
        <w:widowControl w:val="0"/>
        <w:shd w:val="clear" w:color="auto" w:fill="FFFFFF"/>
        <w:tabs>
          <w:tab w:val="left" w:pos="1134"/>
        </w:tabs>
        <w:ind w:firstLine="709"/>
        <w:rPr>
          <w:lang w:eastAsia="en-US"/>
        </w:rPr>
      </w:pPr>
      <w:r w:rsidRPr="00B35439">
        <w:rPr>
          <w:lang w:eastAsia="en-US"/>
        </w:rPr>
        <w:t>“A3” [</w:t>
      </w:r>
      <w:proofErr w:type="spellStart"/>
      <w:r w:rsidRPr="00B35439">
        <w:rPr>
          <w:lang w:eastAsia="en-US"/>
        </w:rPr>
        <w:t>Moody’s</w:t>
      </w:r>
      <w:proofErr w:type="spellEnd"/>
      <w:r w:rsidRPr="00B35439">
        <w:rPr>
          <w:lang w:eastAsia="en-US"/>
        </w:rPr>
        <w:t xml:space="preserve"> </w:t>
      </w:r>
      <w:proofErr w:type="spellStart"/>
      <w:r w:rsidRPr="00B35439">
        <w:rPr>
          <w:lang w:eastAsia="en-US"/>
        </w:rPr>
        <w:t>Investors</w:t>
      </w:r>
      <w:proofErr w:type="spellEnd"/>
      <w:r w:rsidRPr="00B35439">
        <w:rPr>
          <w:lang w:eastAsia="en-US"/>
        </w:rPr>
        <w:t xml:space="preserve"> </w:t>
      </w:r>
      <w:proofErr w:type="spellStart"/>
      <w:r w:rsidRPr="00B35439">
        <w:rPr>
          <w:lang w:eastAsia="en-US"/>
        </w:rPr>
        <w:t>Service</w:t>
      </w:r>
      <w:proofErr w:type="spellEnd"/>
      <w:r w:rsidRPr="00B35439">
        <w:rPr>
          <w:lang w:eastAsia="en-US"/>
        </w:rPr>
        <w:t xml:space="preserve"> (США)];</w:t>
      </w:r>
    </w:p>
    <w:p w14:paraId="0A461A39" w14:textId="77777777" w:rsidR="00825CC3" w:rsidRPr="00B35439" w:rsidRDefault="00825CC3" w:rsidP="00825CC3">
      <w:pPr>
        <w:widowControl w:val="0"/>
        <w:shd w:val="clear" w:color="auto" w:fill="FFFFFF"/>
        <w:tabs>
          <w:tab w:val="left" w:pos="1134"/>
        </w:tabs>
        <w:ind w:firstLine="709"/>
        <w:rPr>
          <w:lang w:eastAsia="en-US"/>
        </w:rPr>
      </w:pPr>
      <w:r w:rsidRPr="00B35439">
        <w:rPr>
          <w:lang w:eastAsia="en-US"/>
        </w:rPr>
        <w:t xml:space="preserve">“A-” [Standard &amp; </w:t>
      </w:r>
      <w:proofErr w:type="spellStart"/>
      <w:r w:rsidRPr="00B35439">
        <w:rPr>
          <w:lang w:eastAsia="en-US"/>
        </w:rPr>
        <w:t>Poor’s</w:t>
      </w:r>
      <w:proofErr w:type="spellEnd"/>
      <w:r w:rsidRPr="00B35439">
        <w:rPr>
          <w:lang w:eastAsia="en-US"/>
        </w:rPr>
        <w:t xml:space="preserve"> (США)];</w:t>
      </w:r>
    </w:p>
    <w:p w14:paraId="3E68BF9E" w14:textId="77777777" w:rsidR="00825CC3" w:rsidRPr="00B35439" w:rsidRDefault="00825CC3" w:rsidP="00825CC3">
      <w:pPr>
        <w:widowControl w:val="0"/>
        <w:shd w:val="clear" w:color="auto" w:fill="FFFFFF"/>
        <w:tabs>
          <w:tab w:val="left" w:pos="1134"/>
        </w:tabs>
        <w:ind w:firstLine="709"/>
        <w:rPr>
          <w:lang w:eastAsia="en-US"/>
        </w:rPr>
      </w:pPr>
      <w:r w:rsidRPr="00B35439">
        <w:rPr>
          <w:lang w:eastAsia="en-US"/>
        </w:rPr>
        <w:t>“A-” [</w:t>
      </w:r>
      <w:proofErr w:type="spellStart"/>
      <w:r w:rsidRPr="00B35439">
        <w:rPr>
          <w:lang w:eastAsia="en-US"/>
        </w:rPr>
        <w:t>Fitch</w:t>
      </w:r>
      <w:proofErr w:type="spellEnd"/>
      <w:r w:rsidRPr="00B35439">
        <w:rPr>
          <w:lang w:eastAsia="en-US"/>
        </w:rPr>
        <w:t xml:space="preserve"> </w:t>
      </w:r>
      <w:proofErr w:type="spellStart"/>
      <w:r w:rsidRPr="00B35439">
        <w:rPr>
          <w:lang w:eastAsia="en-US"/>
        </w:rPr>
        <w:t>Ratings</w:t>
      </w:r>
      <w:proofErr w:type="spellEnd"/>
      <w:r w:rsidRPr="00B35439">
        <w:rPr>
          <w:lang w:eastAsia="en-US"/>
        </w:rPr>
        <w:t xml:space="preserve"> (Великобританія)];</w:t>
      </w:r>
    </w:p>
    <w:p w14:paraId="538BF21B" w14:textId="77777777" w:rsidR="00825CC3" w:rsidRPr="00B35439" w:rsidRDefault="00825CC3" w:rsidP="00825CC3">
      <w:pPr>
        <w:widowControl w:val="0"/>
        <w:shd w:val="clear" w:color="auto" w:fill="FFFFFF"/>
        <w:tabs>
          <w:tab w:val="left" w:pos="1134"/>
        </w:tabs>
        <w:ind w:firstLine="709"/>
        <w:rPr>
          <w:lang w:eastAsia="en-US"/>
        </w:rPr>
      </w:pPr>
      <w:r w:rsidRPr="00B35439">
        <w:rPr>
          <w:lang w:eastAsia="en-US"/>
        </w:rPr>
        <w:t>“A-” [</w:t>
      </w:r>
      <w:r w:rsidRPr="00B35439">
        <w:rPr>
          <w:bCs/>
        </w:rPr>
        <w:t xml:space="preserve">A.M. </w:t>
      </w:r>
      <w:proofErr w:type="spellStart"/>
      <w:r w:rsidRPr="00B35439">
        <w:rPr>
          <w:bCs/>
        </w:rPr>
        <w:t>Best</w:t>
      </w:r>
      <w:proofErr w:type="spellEnd"/>
      <w:r w:rsidRPr="00B35439">
        <w:rPr>
          <w:bCs/>
        </w:rPr>
        <w:t xml:space="preserve"> (США)].</w:t>
      </w:r>
    </w:p>
    <w:p w14:paraId="3AD3CA41" w14:textId="5A9BF376" w:rsidR="00825CC3" w:rsidRPr="00B35439" w:rsidRDefault="00825CC3" w:rsidP="00825CC3">
      <w:pPr>
        <w:widowControl w:val="0"/>
        <w:shd w:val="clear" w:color="auto" w:fill="FFFFFF"/>
        <w:tabs>
          <w:tab w:val="left" w:pos="1134"/>
        </w:tabs>
        <w:ind w:firstLine="709"/>
        <w:contextualSpacing/>
        <w:rPr>
          <w:lang w:eastAsia="en-US"/>
        </w:rPr>
      </w:pPr>
    </w:p>
    <w:p w14:paraId="04C317D4" w14:textId="305D753D" w:rsidR="00BA3066" w:rsidRPr="00B35439" w:rsidRDefault="00312BC8" w:rsidP="0086348E">
      <w:pPr>
        <w:widowControl w:val="0"/>
        <w:numPr>
          <w:ilvl w:val="0"/>
          <w:numId w:val="4"/>
        </w:numPr>
        <w:tabs>
          <w:tab w:val="left" w:pos="1134"/>
        </w:tabs>
        <w:ind w:left="0" w:firstLine="709"/>
        <w:outlineLvl w:val="1"/>
        <w:rPr>
          <w:lang w:eastAsia="en-US"/>
        </w:rPr>
      </w:pPr>
      <w:r w:rsidRPr="00B35439">
        <w:rPr>
          <w:lang w:eastAsia="en-US"/>
        </w:rPr>
        <w:t>Страховик визначає дотримання банком</w:t>
      </w:r>
      <w:r w:rsidR="00BA3066" w:rsidRPr="00B35439">
        <w:rPr>
          <w:lang w:eastAsia="en-US"/>
        </w:rPr>
        <w:t>-резидентом</w:t>
      </w:r>
      <w:r w:rsidRPr="00B35439">
        <w:rPr>
          <w:lang w:eastAsia="en-US"/>
        </w:rPr>
        <w:t xml:space="preserve"> нормативн</w:t>
      </w:r>
      <w:r w:rsidR="00BA3066" w:rsidRPr="00B35439">
        <w:rPr>
          <w:lang w:eastAsia="en-US"/>
        </w:rPr>
        <w:t>их</w:t>
      </w:r>
      <w:r w:rsidRPr="00B35439">
        <w:rPr>
          <w:lang w:eastAsia="en-US"/>
        </w:rPr>
        <w:t xml:space="preserve"> </w:t>
      </w:r>
      <w:r w:rsidRPr="00B35439">
        <w:rPr>
          <w:shd w:val="clear" w:color="auto" w:fill="FFFFFF"/>
        </w:rPr>
        <w:t>значен</w:t>
      </w:r>
      <w:r w:rsidR="00BA3066" w:rsidRPr="00B35439">
        <w:rPr>
          <w:shd w:val="clear" w:color="auto" w:fill="FFFFFF"/>
        </w:rPr>
        <w:t>ь</w:t>
      </w:r>
      <w:r w:rsidRPr="00B35439">
        <w:rPr>
          <w:shd w:val="clear" w:color="auto" w:fill="FFFFFF"/>
        </w:rPr>
        <w:t xml:space="preserve"> економічн</w:t>
      </w:r>
      <w:r w:rsidR="00BA3066" w:rsidRPr="00B35439">
        <w:rPr>
          <w:shd w:val="clear" w:color="auto" w:fill="FFFFFF"/>
        </w:rPr>
        <w:t>их</w:t>
      </w:r>
      <w:r w:rsidRPr="00B35439">
        <w:rPr>
          <w:shd w:val="clear" w:color="auto" w:fill="FFFFFF"/>
        </w:rPr>
        <w:t xml:space="preserve"> норматив</w:t>
      </w:r>
      <w:r w:rsidR="00BA3066" w:rsidRPr="00B35439">
        <w:rPr>
          <w:shd w:val="clear" w:color="auto" w:fill="FFFFFF"/>
        </w:rPr>
        <w:t>ів</w:t>
      </w:r>
      <w:r w:rsidRPr="00B35439">
        <w:rPr>
          <w:shd w:val="clear" w:color="auto" w:fill="FFFFFF"/>
        </w:rPr>
        <w:t>,</w:t>
      </w:r>
      <w:r w:rsidRPr="00B35439">
        <w:rPr>
          <w:lang w:eastAsia="en-US"/>
        </w:rPr>
        <w:t xml:space="preserve"> встановлен</w:t>
      </w:r>
      <w:r w:rsidR="00BA3066" w:rsidRPr="00B35439">
        <w:rPr>
          <w:lang w:eastAsia="en-US"/>
        </w:rPr>
        <w:t>их</w:t>
      </w:r>
      <w:r w:rsidRPr="00B35439">
        <w:rPr>
          <w:lang w:eastAsia="en-US"/>
        </w:rPr>
        <w:t xml:space="preserve"> </w:t>
      </w:r>
      <w:r w:rsidR="005B7976" w:rsidRPr="00B35439">
        <w:rPr>
          <w:lang w:eastAsia="en-US"/>
        </w:rPr>
        <w:t xml:space="preserve">Інструкцією про порядок регулювання діяльності банків в Україні, затвердженою </w:t>
      </w:r>
      <w:r w:rsidRPr="00B35439">
        <w:rPr>
          <w:lang w:eastAsia="en-US"/>
        </w:rPr>
        <w:t>постановою Правління Національного банку України від 28 серпня 2001 року № 368</w:t>
      </w:r>
      <w:r w:rsidR="005B7976" w:rsidRPr="00B35439">
        <w:rPr>
          <w:lang w:eastAsia="en-US"/>
        </w:rPr>
        <w:t xml:space="preserve">, зареєстрованою в Міністерстві юстиції України </w:t>
      </w:r>
      <w:r w:rsidR="0016366E" w:rsidRPr="00B35439">
        <w:rPr>
          <w:lang w:eastAsia="en-US"/>
        </w:rPr>
        <w:t>26 вересня 2001 року за №841/6032</w:t>
      </w:r>
      <w:r w:rsidRPr="00B35439">
        <w:rPr>
          <w:lang w:eastAsia="en-US"/>
        </w:rPr>
        <w:t xml:space="preserve"> (зі змінами), за інформацією, розміщеною </w:t>
      </w:r>
      <w:r w:rsidR="00522675" w:rsidRPr="00B35439">
        <w:rPr>
          <w:lang w:eastAsia="en-US"/>
        </w:rPr>
        <w:t>Національним банком</w:t>
      </w:r>
      <w:r w:rsidR="00453DC3" w:rsidRPr="00B35439">
        <w:rPr>
          <w:lang w:eastAsia="en-US"/>
        </w:rPr>
        <w:t xml:space="preserve"> </w:t>
      </w:r>
      <w:r w:rsidRPr="00B35439">
        <w:rPr>
          <w:lang w:eastAsia="en-US"/>
        </w:rPr>
        <w:t xml:space="preserve">на сторінці </w:t>
      </w:r>
      <w:r w:rsidR="00522675" w:rsidRPr="00B35439">
        <w:rPr>
          <w:lang w:eastAsia="en-US"/>
        </w:rPr>
        <w:t xml:space="preserve">його </w:t>
      </w:r>
      <w:r w:rsidRPr="00B35439">
        <w:rPr>
          <w:lang w:eastAsia="en-US"/>
        </w:rPr>
        <w:t>офіційного Інтернет-представництва відповідно до постанови Правління Національного банку України від 15 лютого 2018 року № 11 “Про встановлення переліку інформації, що підлягає обов'язковому опублікуванню банками України” (зі змінами)</w:t>
      </w:r>
      <w:r w:rsidR="00BA3066" w:rsidRPr="00B35439">
        <w:rPr>
          <w:lang w:eastAsia="en-US"/>
        </w:rPr>
        <w:t xml:space="preserve">. </w:t>
      </w:r>
    </w:p>
    <w:p w14:paraId="7BE35739" w14:textId="280EC349" w:rsidR="00312BC8" w:rsidRPr="00B35439" w:rsidRDefault="00703299" w:rsidP="00522675">
      <w:pPr>
        <w:widowControl w:val="0"/>
        <w:shd w:val="clear" w:color="auto" w:fill="FFFFFF"/>
        <w:tabs>
          <w:tab w:val="left" w:pos="1134"/>
        </w:tabs>
        <w:ind w:firstLine="709"/>
        <w:contextualSpacing/>
        <w:rPr>
          <w:lang w:eastAsia="en-US"/>
        </w:rPr>
      </w:pPr>
      <w:r w:rsidRPr="00B35439">
        <w:rPr>
          <w:lang w:eastAsia="en-US"/>
        </w:rPr>
        <w:lastRenderedPageBreak/>
        <w:t>Страховик враховує інформацію про в</w:t>
      </w:r>
      <w:r w:rsidR="00BA3066" w:rsidRPr="00B35439">
        <w:rPr>
          <w:lang w:eastAsia="en-US"/>
        </w:rPr>
        <w:t>иконання або невиконання банком</w:t>
      </w:r>
      <w:r w:rsidR="00453DC3" w:rsidRPr="00B35439">
        <w:rPr>
          <w:lang w:eastAsia="en-US"/>
        </w:rPr>
        <w:t xml:space="preserve">-резидентом </w:t>
      </w:r>
      <w:r w:rsidR="00BA3066" w:rsidRPr="00B35439">
        <w:rPr>
          <w:lang w:eastAsia="en-US"/>
        </w:rPr>
        <w:t>економічних нормативів, визначен</w:t>
      </w:r>
      <w:r w:rsidRPr="00B35439">
        <w:rPr>
          <w:lang w:eastAsia="en-US"/>
        </w:rPr>
        <w:t>у</w:t>
      </w:r>
      <w:r w:rsidR="00BA3066" w:rsidRPr="00B35439">
        <w:rPr>
          <w:lang w:eastAsia="en-US"/>
        </w:rPr>
        <w:t xml:space="preserve"> відповідно до абзацу першого пункту 7 розділу ІІ цього Положення, </w:t>
      </w:r>
      <w:r w:rsidR="00312BC8" w:rsidRPr="00B35439">
        <w:rPr>
          <w:lang w:eastAsia="en-US"/>
        </w:rPr>
        <w:t xml:space="preserve">з наступного робочого дня після публікації </w:t>
      </w:r>
      <w:r w:rsidRPr="00B35439">
        <w:rPr>
          <w:lang w:eastAsia="en-US"/>
        </w:rPr>
        <w:t xml:space="preserve">Національним банком </w:t>
      </w:r>
      <w:r w:rsidR="007F4880" w:rsidRPr="00B35439">
        <w:rPr>
          <w:lang w:eastAsia="en-US"/>
        </w:rPr>
        <w:t>відповідної</w:t>
      </w:r>
      <w:r w:rsidR="00312BC8" w:rsidRPr="00B35439">
        <w:rPr>
          <w:lang w:eastAsia="en-US"/>
        </w:rPr>
        <w:t xml:space="preserve"> інформації на сторінці </w:t>
      </w:r>
      <w:r w:rsidRPr="00B35439">
        <w:rPr>
          <w:lang w:eastAsia="en-US"/>
        </w:rPr>
        <w:t xml:space="preserve">його </w:t>
      </w:r>
      <w:r w:rsidR="00312BC8" w:rsidRPr="00B35439">
        <w:rPr>
          <w:lang w:eastAsia="en-US"/>
        </w:rPr>
        <w:t>офіці</w:t>
      </w:r>
      <w:r w:rsidRPr="00B35439">
        <w:rPr>
          <w:lang w:eastAsia="en-US"/>
        </w:rPr>
        <w:t>йного Інтернет-представництва</w:t>
      </w:r>
      <w:r w:rsidR="007F4880" w:rsidRPr="00B35439">
        <w:rPr>
          <w:lang w:eastAsia="en-US"/>
        </w:rPr>
        <w:t>.</w:t>
      </w:r>
    </w:p>
    <w:p w14:paraId="2BD7EBA8" w14:textId="77777777" w:rsidR="00312BC8" w:rsidRPr="00B35439" w:rsidRDefault="00312BC8" w:rsidP="00825CC3">
      <w:pPr>
        <w:widowControl w:val="0"/>
        <w:shd w:val="clear" w:color="auto" w:fill="FFFFFF"/>
        <w:tabs>
          <w:tab w:val="left" w:pos="1134"/>
        </w:tabs>
        <w:ind w:firstLine="709"/>
        <w:contextualSpacing/>
        <w:rPr>
          <w:lang w:eastAsia="en-US"/>
        </w:rPr>
      </w:pPr>
    </w:p>
    <w:p w14:paraId="3988A175" w14:textId="77777777" w:rsidR="00CD3F38" w:rsidRPr="00B35439" w:rsidRDefault="00CD3F38" w:rsidP="00CD3F38">
      <w:pPr>
        <w:widowControl w:val="0"/>
        <w:numPr>
          <w:ilvl w:val="0"/>
          <w:numId w:val="4"/>
        </w:numPr>
        <w:tabs>
          <w:tab w:val="left" w:pos="1134"/>
        </w:tabs>
        <w:ind w:left="0" w:firstLine="709"/>
        <w:outlineLvl w:val="1"/>
        <w:rPr>
          <w:rFonts w:eastAsiaTheme="majorEastAsia" w:cstheme="majorBidi"/>
          <w:szCs w:val="26"/>
        </w:rPr>
      </w:pPr>
      <w:r w:rsidRPr="00B35439">
        <w:rPr>
          <w:rFonts w:eastAsiaTheme="majorEastAsia" w:cstheme="majorBidi"/>
          <w:szCs w:val="26"/>
        </w:rPr>
        <w:t>Нерухоме майно включається до суми прийнятних активів з урахуванням наступних обмежень:</w:t>
      </w:r>
    </w:p>
    <w:p w14:paraId="49A6DFF1" w14:textId="77777777" w:rsidR="00CD3F38" w:rsidRPr="00B35439" w:rsidRDefault="00CD3F38" w:rsidP="00CD3F38">
      <w:pPr>
        <w:widowControl w:val="0"/>
        <w:shd w:val="clear" w:color="auto" w:fill="FFFFFF"/>
        <w:tabs>
          <w:tab w:val="left" w:pos="1134"/>
        </w:tabs>
        <w:ind w:firstLine="709"/>
        <w:contextualSpacing/>
        <w:rPr>
          <w:lang w:eastAsia="en-US"/>
        </w:rPr>
      </w:pPr>
    </w:p>
    <w:p w14:paraId="2C75EF1F" w14:textId="40E2F497" w:rsidR="00212707" w:rsidRPr="00B35439" w:rsidRDefault="00CD3F38" w:rsidP="0086348E">
      <w:pPr>
        <w:widowControl w:val="0"/>
        <w:numPr>
          <w:ilvl w:val="0"/>
          <w:numId w:val="22"/>
        </w:numPr>
        <w:shd w:val="clear" w:color="auto" w:fill="FFFFFF"/>
        <w:tabs>
          <w:tab w:val="left" w:pos="1134"/>
        </w:tabs>
        <w:ind w:left="0" w:firstLine="709"/>
        <w:contextualSpacing/>
        <w:rPr>
          <w:lang w:eastAsia="en-US"/>
        </w:rPr>
      </w:pPr>
      <w:r w:rsidRPr="00B35439">
        <w:rPr>
          <w:lang w:eastAsia="en-US"/>
        </w:rPr>
        <w:t>нерухоме майно, набуте у власність страховиком протягом поточного календарного року, включається до суми прийнятних активів в обсязі, що не перевищує 25 відсотків розміру вартості набуття такого нерухомого майна, або нерухоме майно, набуте у власність страховиком протягом попередніх календарних років, справедлива вартість якого збільшилася протягом поточного календарного року на розмір, що перевищує 10 відсотків його справедливої вартості на початок календарного року, включається до суми прийнятних активів в обсязі його вартості на початок календарного року та 25 відсотків від розміру такого збільшення</w:t>
      </w:r>
      <w:r w:rsidR="00212707" w:rsidRPr="00B35439">
        <w:rPr>
          <w:lang w:eastAsia="en-US"/>
        </w:rPr>
        <w:t xml:space="preserve"> </w:t>
      </w:r>
      <w:r w:rsidR="00A76FDF" w:rsidRPr="00B35439">
        <w:rPr>
          <w:lang w:eastAsia="en-US"/>
        </w:rPr>
        <w:t>за умови, якщо:</w:t>
      </w:r>
      <w:r w:rsidR="00212707" w:rsidRPr="00B35439">
        <w:rPr>
          <w:lang w:eastAsia="en-US"/>
        </w:rPr>
        <w:t xml:space="preserve"> </w:t>
      </w:r>
    </w:p>
    <w:p w14:paraId="29993018" w14:textId="230AF930" w:rsidR="00CD3F38" w:rsidRPr="00B35439" w:rsidRDefault="00CD3F38" w:rsidP="00A76FDF">
      <w:pPr>
        <w:widowControl w:val="0"/>
        <w:shd w:val="clear" w:color="auto" w:fill="FFFFFF"/>
        <w:tabs>
          <w:tab w:val="left" w:pos="1134"/>
        </w:tabs>
        <w:ind w:firstLine="851"/>
        <w:rPr>
          <w:lang w:eastAsia="en-US"/>
        </w:rPr>
      </w:pPr>
      <w:r w:rsidRPr="00B35439">
        <w:rPr>
          <w:lang w:eastAsia="en-US"/>
        </w:rPr>
        <w:t>справедлива вартість такого майна підтверджена звітом про оцінку (звітом про оцінку майна або звітом з експертної оцінки земельних ділянок), складеним відповідно до вимог Закону України “Про оцінку майна, майнових прав та професійну оціночну діяльність в Україні” або Закону України “Про оцінку земель” та</w:t>
      </w:r>
    </w:p>
    <w:p w14:paraId="74D6D9F0" w14:textId="77777777" w:rsidR="00CD3F38" w:rsidRPr="00B35439" w:rsidRDefault="00CD3F38" w:rsidP="00CD3F38">
      <w:pPr>
        <w:widowControl w:val="0"/>
        <w:shd w:val="clear" w:color="auto" w:fill="FFFFFF"/>
        <w:tabs>
          <w:tab w:val="left" w:pos="1134"/>
        </w:tabs>
        <w:ind w:firstLine="709"/>
        <w:rPr>
          <w:lang w:eastAsia="en-US"/>
        </w:rPr>
      </w:pPr>
      <w:r w:rsidRPr="00B35439">
        <w:rPr>
          <w:lang w:eastAsia="en-US"/>
        </w:rPr>
        <w:t xml:space="preserve">є рецензія щодо звіту про оцінку майна, виконана </w:t>
      </w:r>
      <w:r w:rsidRPr="00B35439">
        <w:rPr>
          <w:shd w:val="clear" w:color="auto" w:fill="FFFFFF"/>
        </w:rPr>
        <w:t xml:space="preserve">оцінювачем, який має не менш ніж дворічний досвід практичної діяльності з оцінки майна, </w:t>
      </w:r>
      <w:r w:rsidRPr="00B35439">
        <w:rPr>
          <w:lang w:eastAsia="en-US"/>
        </w:rPr>
        <w:t xml:space="preserve">експертною радою, що спеціально створена </w:t>
      </w:r>
      <w:proofErr w:type="spellStart"/>
      <w:r w:rsidRPr="00B35439">
        <w:rPr>
          <w:lang w:eastAsia="en-US"/>
        </w:rPr>
        <w:t>саморегулівною</w:t>
      </w:r>
      <w:proofErr w:type="spellEnd"/>
      <w:r w:rsidRPr="00B35439">
        <w:rPr>
          <w:lang w:eastAsia="en-US"/>
        </w:rPr>
        <w:t xml:space="preserve"> організацією оцінювачів з метою контролю за якістю оцінки майна, яка проводиться оцінювачами – членами такої </w:t>
      </w:r>
      <w:proofErr w:type="spellStart"/>
      <w:r w:rsidRPr="00B35439">
        <w:rPr>
          <w:lang w:eastAsia="en-US"/>
        </w:rPr>
        <w:t>саморегулівної</w:t>
      </w:r>
      <w:proofErr w:type="spellEnd"/>
      <w:r w:rsidRPr="00B35439">
        <w:rPr>
          <w:lang w:eastAsia="en-US"/>
        </w:rPr>
        <w:t xml:space="preserve"> організації або оцінювачем, який має не менше ніж дворічний досвід практичної діяльності з оцінки майна та працює у Фонді державного майна України</w:t>
      </w:r>
      <w:r w:rsidRPr="00B35439">
        <w:rPr>
          <w:shd w:val="clear" w:color="auto" w:fill="FFFFFF"/>
        </w:rPr>
        <w:t>, а також інших органах, зазначених у статті 5 З</w:t>
      </w:r>
      <w:r w:rsidRPr="00B35439">
        <w:t xml:space="preserve">акону України </w:t>
      </w:r>
      <w:r w:rsidRPr="00B35439">
        <w:rPr>
          <w:lang w:eastAsia="en-US"/>
        </w:rPr>
        <w:t xml:space="preserve">“Про оцінку майна, майнових прав та професійну оціночну діяльність в Україні”, та/або є рецензія щодо звіту з експертної грошової оцінки земельних ділянок, виконана оцінювачами з експертної грошової оцінки земельних ділянок зі стажем практичної роботи не менше двох років або експертними радами </w:t>
      </w:r>
      <w:proofErr w:type="spellStart"/>
      <w:r w:rsidRPr="00B35439">
        <w:rPr>
          <w:lang w:eastAsia="en-US"/>
        </w:rPr>
        <w:t>саморегулівних</w:t>
      </w:r>
      <w:proofErr w:type="spellEnd"/>
      <w:r w:rsidRPr="00B35439">
        <w:rPr>
          <w:lang w:eastAsia="en-US"/>
        </w:rPr>
        <w:t xml:space="preserve"> організацій оцінювачів з експертної грошової оцінки земельних ділянок. І така рецензія класифікує звіт про оцінку як такий, що повністю відповідає вимогам нормативно-правових актів з оцінки майна або в цілому відповідає вимогам нормативно-правових актів з оцінки майна, але має незначні недоліки, що не вплинули на достовірність оцінки;</w:t>
      </w:r>
    </w:p>
    <w:p w14:paraId="7173C87E" w14:textId="77777777" w:rsidR="00CD3F38" w:rsidRPr="00B35439" w:rsidRDefault="00CD3F38" w:rsidP="00CD3F38">
      <w:pPr>
        <w:widowControl w:val="0"/>
        <w:shd w:val="clear" w:color="auto" w:fill="FFFFFF"/>
        <w:tabs>
          <w:tab w:val="left" w:pos="1134"/>
        </w:tabs>
        <w:ind w:firstLine="709"/>
        <w:contextualSpacing/>
        <w:rPr>
          <w:lang w:eastAsia="en-US"/>
        </w:rPr>
      </w:pPr>
    </w:p>
    <w:p w14:paraId="01DF70CE" w14:textId="7706672C" w:rsidR="00CD3F38" w:rsidRPr="00B35439" w:rsidRDefault="00CD3F38" w:rsidP="00CD3F38">
      <w:pPr>
        <w:widowControl w:val="0"/>
        <w:numPr>
          <w:ilvl w:val="0"/>
          <w:numId w:val="22"/>
        </w:numPr>
        <w:shd w:val="clear" w:color="auto" w:fill="FFFFFF"/>
        <w:tabs>
          <w:tab w:val="left" w:pos="1134"/>
        </w:tabs>
        <w:ind w:left="0" w:firstLine="709"/>
        <w:contextualSpacing/>
        <w:rPr>
          <w:lang w:eastAsia="en-US"/>
        </w:rPr>
      </w:pPr>
      <w:r w:rsidRPr="00B35439">
        <w:rPr>
          <w:lang w:eastAsia="en-US"/>
        </w:rPr>
        <w:t xml:space="preserve">нерухоме майно, зазначене в підпункті 1 пункту </w:t>
      </w:r>
      <w:r w:rsidR="004B291D" w:rsidRPr="00B35439">
        <w:rPr>
          <w:lang w:eastAsia="en-US"/>
        </w:rPr>
        <w:t>8</w:t>
      </w:r>
      <w:r w:rsidRPr="00B35439">
        <w:rPr>
          <w:lang w:eastAsia="en-US"/>
        </w:rPr>
        <w:t xml:space="preserve"> розділу ІІ цього Положення, може бути включене до суми прийнятних активів у повному обсязі, </w:t>
      </w:r>
      <w:r w:rsidRPr="00B35439">
        <w:rPr>
          <w:lang w:eastAsia="en-US"/>
        </w:rPr>
        <w:lastRenderedPageBreak/>
        <w:t>якщо його вартість підтверджена суб’єктом аудиторської діяльності, який відповідно до законодавства України має право проводити обов’язковий аудит фінансової звітності підприємств, що становлять суспільний інтерес, відповідно до вимог міжнародних стандартів аудиту, – з дати такого підтвердження.</w:t>
      </w:r>
    </w:p>
    <w:p w14:paraId="73F73905" w14:textId="4BB100CA" w:rsidR="00CD3F38" w:rsidRPr="00B35439" w:rsidRDefault="00CD3F38" w:rsidP="00CD3F38">
      <w:pPr>
        <w:widowControl w:val="0"/>
        <w:shd w:val="clear" w:color="auto" w:fill="FFFFFF"/>
        <w:tabs>
          <w:tab w:val="left" w:pos="1134"/>
        </w:tabs>
        <w:ind w:firstLine="709"/>
        <w:rPr>
          <w:lang w:eastAsia="en-US"/>
        </w:rPr>
      </w:pPr>
      <w:r w:rsidRPr="00B35439">
        <w:rPr>
          <w:lang w:eastAsia="en-US"/>
        </w:rPr>
        <w:t xml:space="preserve">Нерухоме майно, яке було набуте у власність страховиком протягом поточного календарного року та справедлива вартість якого збільшилася протягом поточного календарного року, може бути включене до суми прийнятних активів у розмірі, визначеному в підпунктах 1, 2 пункту </w:t>
      </w:r>
      <w:r w:rsidR="004B291D" w:rsidRPr="00B35439">
        <w:rPr>
          <w:lang w:eastAsia="en-US"/>
        </w:rPr>
        <w:t>8</w:t>
      </w:r>
      <w:r w:rsidRPr="00B35439">
        <w:rPr>
          <w:lang w:eastAsia="en-US"/>
        </w:rPr>
        <w:t xml:space="preserve"> розділу ІІ цього Положення для нерухомого майна, яке було набуте у власність страховиком протягом поточного календарного року.</w:t>
      </w:r>
    </w:p>
    <w:p w14:paraId="6E5358C5" w14:textId="006C2EF2" w:rsidR="00CD3F38" w:rsidRPr="00B35439" w:rsidRDefault="00CD3F38" w:rsidP="00CD3F38">
      <w:pPr>
        <w:widowControl w:val="0"/>
        <w:shd w:val="clear" w:color="auto" w:fill="FFFFFF"/>
        <w:tabs>
          <w:tab w:val="left" w:pos="1134"/>
        </w:tabs>
        <w:ind w:firstLine="709"/>
        <w:rPr>
          <w:lang w:eastAsia="en-US"/>
        </w:rPr>
      </w:pPr>
      <w:r w:rsidRPr="00B35439">
        <w:rPr>
          <w:lang w:eastAsia="en-US"/>
        </w:rPr>
        <w:t xml:space="preserve">Підтвердженням суб’єктом аудиторської діяльності, який відповідно до законодавства України має право проводити обов’язковий аудит фінансової звітності підприємств, що становлять суспільний інтерес, вартості відповідних прийнятних активів вважається підтвердження достовірності фінансової звітності страховика в цілому або </w:t>
      </w:r>
      <w:r w:rsidR="000101A7" w:rsidRPr="00B35439">
        <w:rPr>
          <w:lang w:eastAsia="en-US"/>
        </w:rPr>
        <w:t>відсутність застережень щодо вартості таких активів</w:t>
      </w:r>
      <w:r w:rsidRPr="00B35439">
        <w:rPr>
          <w:lang w:eastAsia="en-US"/>
        </w:rPr>
        <w:t xml:space="preserve"> за відповідний звітний період, про що зазначено в аудиторському звіті щодо проведення обов’язкового аудиту фінансової звітності та/або звіті щодо огляду проміжної фінансової інформації, та/або додатковому звіті суб’єкта аудиторської діяльності;</w:t>
      </w:r>
    </w:p>
    <w:p w14:paraId="0E817A53" w14:textId="77777777" w:rsidR="00CD3F38" w:rsidRPr="00B35439" w:rsidRDefault="00CD3F38" w:rsidP="00CD3F38">
      <w:pPr>
        <w:widowControl w:val="0"/>
        <w:shd w:val="clear" w:color="auto" w:fill="FFFFFF"/>
        <w:tabs>
          <w:tab w:val="left" w:pos="1134"/>
        </w:tabs>
        <w:ind w:firstLine="709"/>
        <w:contextualSpacing/>
        <w:rPr>
          <w:lang w:eastAsia="en-US"/>
        </w:rPr>
      </w:pPr>
    </w:p>
    <w:p w14:paraId="183E8644" w14:textId="77777777" w:rsidR="00CD3F38" w:rsidRPr="00B35439" w:rsidRDefault="00CD3F38" w:rsidP="00CD3F38">
      <w:pPr>
        <w:widowControl w:val="0"/>
        <w:numPr>
          <w:ilvl w:val="0"/>
          <w:numId w:val="22"/>
        </w:numPr>
        <w:shd w:val="clear" w:color="auto" w:fill="FFFFFF"/>
        <w:tabs>
          <w:tab w:val="left" w:pos="1134"/>
        </w:tabs>
        <w:ind w:left="0" w:firstLine="709"/>
        <w:contextualSpacing/>
        <w:rPr>
          <w:lang w:eastAsia="en-US"/>
        </w:rPr>
      </w:pPr>
      <w:r w:rsidRPr="00B35439">
        <w:rPr>
          <w:lang w:eastAsia="en-US"/>
        </w:rPr>
        <w:t>нерухоме майно, справедлива вартість якого збільшилася протягом поточного календарного року менше ніж на 10 відсотків його вартості на початок календарного року та таке майно було набуте страховиком до початку календарного року, може бути включене до суми прийнятних активів у повному обсязі.</w:t>
      </w:r>
    </w:p>
    <w:p w14:paraId="31B19673" w14:textId="77777777" w:rsidR="00CD3F38" w:rsidRPr="00B35439" w:rsidRDefault="00CD3F38" w:rsidP="00CD3F38">
      <w:pPr>
        <w:widowControl w:val="0"/>
        <w:shd w:val="clear" w:color="auto" w:fill="FFFFFF"/>
        <w:tabs>
          <w:tab w:val="left" w:pos="1134"/>
        </w:tabs>
        <w:ind w:firstLine="709"/>
        <w:contextualSpacing/>
        <w:rPr>
          <w:lang w:eastAsia="en-US"/>
        </w:rPr>
      </w:pPr>
    </w:p>
    <w:p w14:paraId="04E59904" w14:textId="77777777" w:rsidR="00CD3F38" w:rsidRPr="00B35439" w:rsidRDefault="00CD3F38" w:rsidP="00CD3F38">
      <w:pPr>
        <w:widowControl w:val="0"/>
        <w:numPr>
          <w:ilvl w:val="0"/>
          <w:numId w:val="4"/>
        </w:numPr>
        <w:tabs>
          <w:tab w:val="left" w:pos="1134"/>
        </w:tabs>
        <w:ind w:left="0" w:firstLine="709"/>
        <w:outlineLvl w:val="1"/>
        <w:rPr>
          <w:rFonts w:eastAsiaTheme="majorEastAsia" w:cstheme="majorBidi"/>
          <w:szCs w:val="26"/>
        </w:rPr>
      </w:pPr>
      <w:bookmarkStart w:id="37" w:name="n47"/>
      <w:bookmarkEnd w:id="37"/>
      <w:r w:rsidRPr="00B35439">
        <w:rPr>
          <w:rFonts w:eastAsiaTheme="majorEastAsia" w:cstheme="majorBidi"/>
          <w:szCs w:val="26"/>
        </w:rPr>
        <w:t>Акції, корпоративні облігації (крім цільових облігацій), облігації місцевих позик, облігації міжнародних фінансових організацій, право власності страховика на які підтверджено документально відповідно до законодавства України, а також дебіторська заборгованість за нарахованими відсотками за такими цінними паперами (у разі наявності умов нарахування відсотків за такими цінними паперами) включаються до суми прийнятних активів з урахуванням наступних обмежень:</w:t>
      </w:r>
    </w:p>
    <w:p w14:paraId="772BDCC1" w14:textId="77777777" w:rsidR="00CD3F38" w:rsidRPr="00B35439" w:rsidRDefault="00CD3F38" w:rsidP="00CD3F38">
      <w:pPr>
        <w:widowControl w:val="0"/>
        <w:shd w:val="clear" w:color="auto" w:fill="FFFFFF"/>
        <w:tabs>
          <w:tab w:val="left" w:pos="1134"/>
        </w:tabs>
        <w:ind w:firstLine="709"/>
        <w:contextualSpacing/>
        <w:rPr>
          <w:lang w:eastAsia="en-US"/>
        </w:rPr>
      </w:pPr>
    </w:p>
    <w:p w14:paraId="68C0E20E" w14:textId="77777777" w:rsidR="00CD3F38" w:rsidRPr="00B35439" w:rsidRDefault="00CD3F38" w:rsidP="00CD3F38">
      <w:pPr>
        <w:widowControl w:val="0"/>
        <w:numPr>
          <w:ilvl w:val="0"/>
          <w:numId w:val="23"/>
        </w:numPr>
        <w:shd w:val="clear" w:color="auto" w:fill="FFFFFF"/>
        <w:tabs>
          <w:tab w:val="left" w:pos="1134"/>
        </w:tabs>
        <w:ind w:left="0" w:firstLine="709"/>
        <w:contextualSpacing/>
        <w:rPr>
          <w:lang w:eastAsia="en-US"/>
        </w:rPr>
      </w:pPr>
      <w:r w:rsidRPr="00B35439">
        <w:rPr>
          <w:lang w:eastAsia="en-US"/>
        </w:rPr>
        <w:t>акції українських емітентів відповідно до законодавства України, що пройшли процедуру лістингу на фондовій біржі та перебувають у біржовому реєстрі, – разом не більше трьох відсотків страхових резервів;</w:t>
      </w:r>
    </w:p>
    <w:p w14:paraId="4AAD1C5C" w14:textId="77777777" w:rsidR="00CD3F38" w:rsidRPr="00B35439" w:rsidRDefault="00CD3F38" w:rsidP="00CD3F38">
      <w:pPr>
        <w:widowControl w:val="0"/>
        <w:shd w:val="clear" w:color="auto" w:fill="FFFFFF"/>
        <w:tabs>
          <w:tab w:val="left" w:pos="1134"/>
        </w:tabs>
        <w:ind w:firstLine="709"/>
        <w:contextualSpacing/>
        <w:rPr>
          <w:lang w:eastAsia="en-US"/>
        </w:rPr>
      </w:pPr>
    </w:p>
    <w:p w14:paraId="6E25D720" w14:textId="77777777" w:rsidR="00CD3F38" w:rsidRPr="00B35439" w:rsidRDefault="00CD3F38" w:rsidP="00CD3F38">
      <w:pPr>
        <w:widowControl w:val="0"/>
        <w:numPr>
          <w:ilvl w:val="0"/>
          <w:numId w:val="23"/>
        </w:numPr>
        <w:shd w:val="clear" w:color="auto" w:fill="FFFFFF"/>
        <w:tabs>
          <w:tab w:val="left" w:pos="1134"/>
        </w:tabs>
        <w:ind w:left="0" w:firstLine="709"/>
        <w:contextualSpacing/>
        <w:rPr>
          <w:lang w:eastAsia="en-US"/>
        </w:rPr>
      </w:pPr>
      <w:r w:rsidRPr="00B35439">
        <w:rPr>
          <w:lang w:eastAsia="en-US"/>
        </w:rPr>
        <w:t xml:space="preserve">акції іноземних емітентів, які відповідають вимогам: </w:t>
      </w:r>
    </w:p>
    <w:p w14:paraId="3CBAE16F" w14:textId="77777777" w:rsidR="00CD3F38" w:rsidRPr="00B35439" w:rsidRDefault="00CD3F38" w:rsidP="00CD3F38">
      <w:pPr>
        <w:widowControl w:val="0"/>
        <w:shd w:val="clear" w:color="auto" w:fill="FFFFFF"/>
        <w:tabs>
          <w:tab w:val="left" w:pos="1134"/>
        </w:tabs>
        <w:ind w:firstLine="709"/>
        <w:rPr>
          <w:lang w:eastAsia="en-US"/>
        </w:rPr>
      </w:pPr>
      <w:r w:rsidRPr="00B35439">
        <w:rPr>
          <w:lang w:eastAsia="en-US"/>
        </w:rPr>
        <w:t xml:space="preserve">Національна комісія з цінних паперів та фондового ринку прийняла рішення про допуск таких цінних паперів до обігу на території України; </w:t>
      </w:r>
    </w:p>
    <w:p w14:paraId="68672E12" w14:textId="77777777" w:rsidR="00CD3F38" w:rsidRPr="00B35439" w:rsidRDefault="00CD3F38" w:rsidP="00CD3F38">
      <w:pPr>
        <w:widowControl w:val="0"/>
        <w:shd w:val="clear" w:color="auto" w:fill="FFFFFF"/>
        <w:tabs>
          <w:tab w:val="left" w:pos="1134"/>
        </w:tabs>
        <w:ind w:firstLine="709"/>
        <w:rPr>
          <w:lang w:eastAsia="en-US"/>
        </w:rPr>
      </w:pPr>
      <w:r w:rsidRPr="00B35439">
        <w:rPr>
          <w:lang w:eastAsia="en-US"/>
        </w:rPr>
        <w:t xml:space="preserve">перебувають в обігу впродовж останніх 12 місяців до дати розрахунку </w:t>
      </w:r>
      <w:r w:rsidRPr="00B35439">
        <w:rPr>
          <w:lang w:eastAsia="en-US"/>
        </w:rPr>
        <w:lastRenderedPageBreak/>
        <w:t>величини прийнятних активів на організованих фондових ринках;</w:t>
      </w:r>
      <w:bookmarkStart w:id="38" w:name="n64"/>
      <w:bookmarkEnd w:id="38"/>
    </w:p>
    <w:p w14:paraId="595F6512" w14:textId="77777777" w:rsidR="00CD3F38" w:rsidRPr="00B35439" w:rsidRDefault="00CD3F38" w:rsidP="00CD3F38">
      <w:pPr>
        <w:widowControl w:val="0"/>
        <w:shd w:val="clear" w:color="auto" w:fill="FFFFFF"/>
        <w:tabs>
          <w:tab w:val="left" w:pos="1134"/>
        </w:tabs>
        <w:ind w:firstLine="709"/>
        <w:rPr>
          <w:lang w:eastAsia="en-US"/>
        </w:rPr>
      </w:pPr>
    </w:p>
    <w:p w14:paraId="3BB53908" w14:textId="77777777" w:rsidR="00CD3F38" w:rsidRPr="00B35439" w:rsidRDefault="00CD3F38" w:rsidP="00CD3F38">
      <w:pPr>
        <w:widowControl w:val="0"/>
        <w:numPr>
          <w:ilvl w:val="0"/>
          <w:numId w:val="23"/>
        </w:numPr>
        <w:shd w:val="clear" w:color="auto" w:fill="FFFFFF"/>
        <w:tabs>
          <w:tab w:val="left" w:pos="1134"/>
        </w:tabs>
        <w:ind w:left="0" w:firstLine="709"/>
        <w:contextualSpacing/>
        <w:rPr>
          <w:lang w:eastAsia="en-US"/>
        </w:rPr>
      </w:pPr>
      <w:bookmarkStart w:id="39" w:name="n65"/>
      <w:bookmarkEnd w:id="39"/>
      <w:r w:rsidRPr="00B35439">
        <w:rPr>
          <w:lang w:eastAsia="en-US"/>
        </w:rPr>
        <w:t xml:space="preserve">корпоративні облігації українських емітентів, облігації місцевих позик, облігації міжнародних фінансових організацій, що перебувають у біржовому списку та мають інвестиційний рівень кредитного рейтингу за національною рейтинговою шкалою; </w:t>
      </w:r>
    </w:p>
    <w:p w14:paraId="3259CB6A" w14:textId="77777777" w:rsidR="00CD3F38" w:rsidRPr="00B35439" w:rsidRDefault="00CD3F38" w:rsidP="00CD3F38">
      <w:pPr>
        <w:widowControl w:val="0"/>
        <w:shd w:val="clear" w:color="auto" w:fill="FFFFFF"/>
        <w:tabs>
          <w:tab w:val="left" w:pos="1134"/>
        </w:tabs>
        <w:ind w:firstLine="709"/>
        <w:rPr>
          <w:lang w:eastAsia="en-US"/>
        </w:rPr>
      </w:pPr>
    </w:p>
    <w:p w14:paraId="39DD5D60" w14:textId="77777777" w:rsidR="00CD3F38" w:rsidRPr="00B35439" w:rsidRDefault="00CD3F38" w:rsidP="00CD3F38">
      <w:pPr>
        <w:widowControl w:val="0"/>
        <w:numPr>
          <w:ilvl w:val="0"/>
          <w:numId w:val="23"/>
        </w:numPr>
        <w:shd w:val="clear" w:color="auto" w:fill="FFFFFF"/>
        <w:tabs>
          <w:tab w:val="left" w:pos="1134"/>
        </w:tabs>
        <w:ind w:left="0" w:firstLine="709"/>
        <w:contextualSpacing/>
        <w:rPr>
          <w:lang w:eastAsia="en-US"/>
        </w:rPr>
      </w:pPr>
      <w:bookmarkStart w:id="40" w:name="n67"/>
      <w:bookmarkStart w:id="41" w:name="n68"/>
      <w:bookmarkEnd w:id="40"/>
      <w:bookmarkEnd w:id="41"/>
      <w:r w:rsidRPr="00B35439">
        <w:rPr>
          <w:lang w:eastAsia="en-US"/>
        </w:rPr>
        <w:t>корпоративні облігації іноземних емітентів, які відповідають вимогам:</w:t>
      </w:r>
    </w:p>
    <w:p w14:paraId="7C540ABB" w14:textId="77777777" w:rsidR="00CD3F38" w:rsidRPr="00B35439" w:rsidRDefault="00CD3F38" w:rsidP="00CD3F38">
      <w:pPr>
        <w:widowControl w:val="0"/>
        <w:shd w:val="clear" w:color="auto" w:fill="FFFFFF"/>
        <w:tabs>
          <w:tab w:val="left" w:pos="1134"/>
        </w:tabs>
        <w:ind w:firstLine="709"/>
        <w:rPr>
          <w:lang w:eastAsia="en-US"/>
        </w:rPr>
      </w:pPr>
      <w:r w:rsidRPr="00B35439">
        <w:rPr>
          <w:lang w:eastAsia="en-US"/>
        </w:rPr>
        <w:t xml:space="preserve">пройшли процедуру лістингу на одній з іноземних фондових бірж згідно з переліком іноземних фондових бірж, на яких мають бути допущені до обігу цінні папери іноземних емітентів, для допуску їх до обігу на території України, затвердженим Національною комісією з цінних паперів та фондового ринку; </w:t>
      </w:r>
      <w:bookmarkStart w:id="42" w:name="n69"/>
      <w:bookmarkEnd w:id="42"/>
    </w:p>
    <w:p w14:paraId="3F2CA67D" w14:textId="77777777" w:rsidR="00CD3F38" w:rsidRPr="00B35439" w:rsidRDefault="00CD3F38" w:rsidP="00CD3F38">
      <w:pPr>
        <w:widowControl w:val="0"/>
        <w:shd w:val="clear" w:color="auto" w:fill="FFFFFF"/>
        <w:tabs>
          <w:tab w:val="left" w:pos="1134"/>
        </w:tabs>
        <w:ind w:firstLine="709"/>
        <w:rPr>
          <w:lang w:eastAsia="en-US"/>
        </w:rPr>
      </w:pPr>
      <w:r w:rsidRPr="00B35439">
        <w:rPr>
          <w:lang w:eastAsia="en-US"/>
        </w:rPr>
        <w:t>відповідають вимогам щодо допуску таких цінних паперів до їх обігу на території України;</w:t>
      </w:r>
    </w:p>
    <w:p w14:paraId="2EFBDB4F" w14:textId="77777777" w:rsidR="00CD3F38" w:rsidRPr="00B35439" w:rsidRDefault="00CD3F38" w:rsidP="00CD3F38">
      <w:pPr>
        <w:widowControl w:val="0"/>
        <w:shd w:val="clear" w:color="auto" w:fill="FFFFFF"/>
        <w:tabs>
          <w:tab w:val="left" w:pos="1134"/>
        </w:tabs>
        <w:ind w:firstLine="709"/>
        <w:rPr>
          <w:lang w:eastAsia="en-US"/>
        </w:rPr>
      </w:pPr>
      <w:r w:rsidRPr="00B35439">
        <w:rPr>
          <w:lang w:eastAsia="en-US"/>
        </w:rPr>
        <w:t>кредитний рейтинг іноземного емітента таких корпоративних облігацій не нижчий за:</w:t>
      </w:r>
    </w:p>
    <w:p w14:paraId="0F192DA2" w14:textId="77777777" w:rsidR="00CD3F38" w:rsidRPr="00B35439" w:rsidRDefault="00CD3F38" w:rsidP="00CD3F38">
      <w:pPr>
        <w:widowControl w:val="0"/>
        <w:shd w:val="clear" w:color="auto" w:fill="FFFFFF"/>
        <w:tabs>
          <w:tab w:val="left" w:pos="1134"/>
        </w:tabs>
        <w:ind w:firstLine="709"/>
        <w:rPr>
          <w:lang w:eastAsia="en-US"/>
        </w:rPr>
      </w:pPr>
      <w:bookmarkStart w:id="43" w:name="n70"/>
      <w:bookmarkStart w:id="44" w:name="n66"/>
      <w:bookmarkEnd w:id="43"/>
      <w:bookmarkEnd w:id="44"/>
      <w:r w:rsidRPr="00B35439">
        <w:rPr>
          <w:lang w:eastAsia="en-US"/>
        </w:rPr>
        <w:t>“A3” [</w:t>
      </w:r>
      <w:proofErr w:type="spellStart"/>
      <w:r w:rsidRPr="00B35439">
        <w:rPr>
          <w:lang w:eastAsia="en-US"/>
        </w:rPr>
        <w:t>Moody’s</w:t>
      </w:r>
      <w:proofErr w:type="spellEnd"/>
      <w:r w:rsidRPr="00B35439">
        <w:rPr>
          <w:lang w:eastAsia="en-US"/>
        </w:rPr>
        <w:t xml:space="preserve"> </w:t>
      </w:r>
      <w:proofErr w:type="spellStart"/>
      <w:r w:rsidRPr="00B35439">
        <w:rPr>
          <w:lang w:eastAsia="en-US"/>
        </w:rPr>
        <w:t>Investors</w:t>
      </w:r>
      <w:proofErr w:type="spellEnd"/>
      <w:r w:rsidRPr="00B35439">
        <w:rPr>
          <w:lang w:eastAsia="en-US"/>
        </w:rPr>
        <w:t xml:space="preserve"> </w:t>
      </w:r>
      <w:proofErr w:type="spellStart"/>
      <w:r w:rsidRPr="00B35439">
        <w:rPr>
          <w:lang w:eastAsia="en-US"/>
        </w:rPr>
        <w:t>Service</w:t>
      </w:r>
      <w:proofErr w:type="spellEnd"/>
      <w:r w:rsidRPr="00B35439">
        <w:rPr>
          <w:lang w:eastAsia="en-US"/>
        </w:rPr>
        <w:t xml:space="preserve"> (США)];</w:t>
      </w:r>
    </w:p>
    <w:p w14:paraId="53F861B6" w14:textId="77777777" w:rsidR="00CD3F38" w:rsidRPr="00B35439" w:rsidRDefault="00CD3F38" w:rsidP="00CD3F38">
      <w:pPr>
        <w:widowControl w:val="0"/>
        <w:shd w:val="clear" w:color="auto" w:fill="FFFFFF"/>
        <w:tabs>
          <w:tab w:val="left" w:pos="1134"/>
        </w:tabs>
        <w:ind w:firstLine="709"/>
        <w:rPr>
          <w:lang w:eastAsia="en-US"/>
        </w:rPr>
      </w:pPr>
      <w:bookmarkStart w:id="45" w:name="n71"/>
      <w:bookmarkEnd w:id="45"/>
      <w:r w:rsidRPr="00B35439">
        <w:rPr>
          <w:lang w:eastAsia="en-US"/>
        </w:rPr>
        <w:t xml:space="preserve">“A-” [Standard &amp; </w:t>
      </w:r>
      <w:proofErr w:type="spellStart"/>
      <w:r w:rsidRPr="00B35439">
        <w:rPr>
          <w:lang w:eastAsia="en-US"/>
        </w:rPr>
        <w:t>Poor’s</w:t>
      </w:r>
      <w:proofErr w:type="spellEnd"/>
      <w:r w:rsidRPr="00B35439">
        <w:rPr>
          <w:lang w:eastAsia="en-US"/>
        </w:rPr>
        <w:t xml:space="preserve"> (США)];</w:t>
      </w:r>
    </w:p>
    <w:p w14:paraId="7AC9765B" w14:textId="77777777" w:rsidR="00CD3F38" w:rsidRPr="00B35439" w:rsidRDefault="00CD3F38" w:rsidP="00CD3F38">
      <w:pPr>
        <w:widowControl w:val="0"/>
        <w:shd w:val="clear" w:color="auto" w:fill="FFFFFF"/>
        <w:tabs>
          <w:tab w:val="left" w:pos="1134"/>
        </w:tabs>
        <w:ind w:firstLine="709"/>
        <w:rPr>
          <w:lang w:eastAsia="en-US"/>
        </w:rPr>
      </w:pPr>
      <w:bookmarkStart w:id="46" w:name="n72"/>
      <w:bookmarkEnd w:id="46"/>
      <w:r w:rsidRPr="00B35439">
        <w:rPr>
          <w:lang w:eastAsia="en-US"/>
        </w:rPr>
        <w:t>“A-” [</w:t>
      </w:r>
      <w:proofErr w:type="spellStart"/>
      <w:r w:rsidRPr="00B35439">
        <w:rPr>
          <w:lang w:eastAsia="en-US"/>
        </w:rPr>
        <w:t>Fitch</w:t>
      </w:r>
      <w:proofErr w:type="spellEnd"/>
      <w:r w:rsidRPr="00B35439">
        <w:rPr>
          <w:lang w:eastAsia="en-US"/>
        </w:rPr>
        <w:t xml:space="preserve"> </w:t>
      </w:r>
      <w:proofErr w:type="spellStart"/>
      <w:r w:rsidRPr="00B35439">
        <w:rPr>
          <w:lang w:eastAsia="en-US"/>
        </w:rPr>
        <w:t>Ratings</w:t>
      </w:r>
      <w:proofErr w:type="spellEnd"/>
      <w:r w:rsidRPr="00B35439">
        <w:rPr>
          <w:lang w:eastAsia="en-US"/>
        </w:rPr>
        <w:t xml:space="preserve"> (Великобританія)];</w:t>
      </w:r>
    </w:p>
    <w:p w14:paraId="1DCE68D6" w14:textId="77777777" w:rsidR="00CD3F38" w:rsidRPr="00B35439" w:rsidRDefault="00CD3F38" w:rsidP="00CD3F38">
      <w:pPr>
        <w:widowControl w:val="0"/>
        <w:shd w:val="clear" w:color="auto" w:fill="FFFFFF"/>
        <w:tabs>
          <w:tab w:val="left" w:pos="1134"/>
        </w:tabs>
        <w:ind w:firstLine="709"/>
        <w:rPr>
          <w:bCs/>
        </w:rPr>
      </w:pPr>
      <w:r w:rsidRPr="00B35439">
        <w:rPr>
          <w:lang w:eastAsia="en-US"/>
        </w:rPr>
        <w:t>“A-” [</w:t>
      </w:r>
      <w:r w:rsidRPr="00B35439">
        <w:rPr>
          <w:bCs/>
        </w:rPr>
        <w:t xml:space="preserve">A.M. </w:t>
      </w:r>
      <w:proofErr w:type="spellStart"/>
      <w:r w:rsidRPr="00B35439">
        <w:rPr>
          <w:bCs/>
        </w:rPr>
        <w:t>Best</w:t>
      </w:r>
      <w:proofErr w:type="spellEnd"/>
      <w:r w:rsidRPr="00B35439">
        <w:rPr>
          <w:bCs/>
        </w:rPr>
        <w:t xml:space="preserve"> (США)];</w:t>
      </w:r>
    </w:p>
    <w:p w14:paraId="1298A340" w14:textId="77777777" w:rsidR="00CD3F38" w:rsidRPr="00B35439" w:rsidRDefault="00CD3F38" w:rsidP="00CD3F38">
      <w:pPr>
        <w:widowControl w:val="0"/>
        <w:shd w:val="clear" w:color="auto" w:fill="FFFFFF"/>
        <w:tabs>
          <w:tab w:val="left" w:pos="1134"/>
        </w:tabs>
        <w:ind w:firstLine="709"/>
        <w:rPr>
          <w:lang w:eastAsia="en-US"/>
        </w:rPr>
      </w:pPr>
      <w:r w:rsidRPr="00B35439">
        <w:rPr>
          <w:lang w:eastAsia="en-US"/>
        </w:rPr>
        <w:t>перебувають в обігу впродовж останніх 12 місяців до дати розрахунку величини прийнятних активів на організованих фондових ринках;</w:t>
      </w:r>
    </w:p>
    <w:p w14:paraId="04BB88FF" w14:textId="77777777" w:rsidR="00CD3F38" w:rsidRPr="00B35439" w:rsidRDefault="00CD3F38" w:rsidP="00CD3F38">
      <w:pPr>
        <w:widowControl w:val="0"/>
        <w:shd w:val="clear" w:color="auto" w:fill="FFFFFF"/>
        <w:tabs>
          <w:tab w:val="left" w:pos="1134"/>
        </w:tabs>
        <w:ind w:firstLine="709"/>
        <w:contextualSpacing/>
        <w:rPr>
          <w:lang w:eastAsia="en-US"/>
        </w:rPr>
      </w:pPr>
      <w:bookmarkStart w:id="47" w:name="n73"/>
      <w:bookmarkStart w:id="48" w:name="n74"/>
      <w:bookmarkEnd w:id="47"/>
      <w:bookmarkEnd w:id="48"/>
    </w:p>
    <w:p w14:paraId="298361B3" w14:textId="77777777" w:rsidR="00CD3F38" w:rsidRPr="00B35439" w:rsidRDefault="00CD3F38" w:rsidP="00CD3F38">
      <w:pPr>
        <w:widowControl w:val="0"/>
        <w:numPr>
          <w:ilvl w:val="0"/>
          <w:numId w:val="23"/>
        </w:numPr>
        <w:shd w:val="clear" w:color="auto" w:fill="FFFFFF"/>
        <w:tabs>
          <w:tab w:val="left" w:pos="1134"/>
        </w:tabs>
        <w:ind w:left="0" w:firstLine="709"/>
        <w:contextualSpacing/>
        <w:rPr>
          <w:lang w:eastAsia="en-US"/>
        </w:rPr>
      </w:pPr>
      <w:r w:rsidRPr="00B35439">
        <w:rPr>
          <w:lang w:eastAsia="en-US"/>
        </w:rPr>
        <w:t>цінні папери іноземних держав-емітентів, що відповідають вимогам щодо допуску таких цінних паперів до обігу на території України, а також за умови, що один із суверенних рейтингів в національній валюті або в іноземній валюті, за короткостроковими зобов’язаннями або за довгостроковими зобов’язаннями країни, в якій державою здійснено випуск цінних паперів, не нижче одного з таких:</w:t>
      </w:r>
    </w:p>
    <w:p w14:paraId="3047D94F" w14:textId="77777777" w:rsidR="00CD3F38" w:rsidRPr="00B35439" w:rsidRDefault="00CD3F38" w:rsidP="00CD3F38">
      <w:pPr>
        <w:widowControl w:val="0"/>
        <w:shd w:val="clear" w:color="auto" w:fill="FFFFFF"/>
        <w:tabs>
          <w:tab w:val="left" w:pos="1134"/>
        </w:tabs>
        <w:ind w:firstLine="709"/>
        <w:rPr>
          <w:lang w:eastAsia="en-US"/>
        </w:rPr>
      </w:pPr>
      <w:bookmarkStart w:id="49" w:name="n75"/>
      <w:bookmarkStart w:id="50" w:name="n287"/>
      <w:bookmarkStart w:id="51" w:name="n286"/>
      <w:bookmarkStart w:id="52" w:name="n90"/>
      <w:bookmarkEnd w:id="49"/>
      <w:bookmarkEnd w:id="50"/>
      <w:bookmarkEnd w:id="51"/>
      <w:bookmarkEnd w:id="52"/>
      <w:r w:rsidRPr="00B35439">
        <w:rPr>
          <w:lang w:eastAsia="en-US"/>
        </w:rPr>
        <w:t>“A3” [</w:t>
      </w:r>
      <w:proofErr w:type="spellStart"/>
      <w:r w:rsidRPr="00B35439">
        <w:rPr>
          <w:lang w:eastAsia="en-US"/>
        </w:rPr>
        <w:t>Moody’s</w:t>
      </w:r>
      <w:proofErr w:type="spellEnd"/>
      <w:r w:rsidRPr="00B35439">
        <w:rPr>
          <w:lang w:eastAsia="en-US"/>
        </w:rPr>
        <w:t xml:space="preserve"> </w:t>
      </w:r>
      <w:proofErr w:type="spellStart"/>
      <w:r w:rsidRPr="00B35439">
        <w:rPr>
          <w:lang w:eastAsia="en-US"/>
        </w:rPr>
        <w:t>Investors</w:t>
      </w:r>
      <w:proofErr w:type="spellEnd"/>
      <w:r w:rsidRPr="00B35439">
        <w:rPr>
          <w:lang w:eastAsia="en-US"/>
        </w:rPr>
        <w:t xml:space="preserve"> </w:t>
      </w:r>
      <w:proofErr w:type="spellStart"/>
      <w:r w:rsidRPr="00B35439">
        <w:rPr>
          <w:lang w:eastAsia="en-US"/>
        </w:rPr>
        <w:t>Service</w:t>
      </w:r>
      <w:proofErr w:type="spellEnd"/>
      <w:r w:rsidRPr="00B35439">
        <w:rPr>
          <w:lang w:eastAsia="en-US"/>
        </w:rPr>
        <w:t xml:space="preserve"> (США)];</w:t>
      </w:r>
    </w:p>
    <w:p w14:paraId="4F6877E7" w14:textId="77777777" w:rsidR="00CD3F38" w:rsidRPr="00B35439" w:rsidRDefault="00CD3F38" w:rsidP="00CD3F38">
      <w:pPr>
        <w:widowControl w:val="0"/>
        <w:shd w:val="clear" w:color="auto" w:fill="FFFFFF"/>
        <w:tabs>
          <w:tab w:val="left" w:pos="1134"/>
        </w:tabs>
        <w:ind w:firstLine="709"/>
        <w:rPr>
          <w:lang w:eastAsia="en-US"/>
        </w:rPr>
      </w:pPr>
      <w:r w:rsidRPr="00B35439">
        <w:rPr>
          <w:lang w:eastAsia="en-US"/>
        </w:rPr>
        <w:t xml:space="preserve">“A-” [Standard &amp; </w:t>
      </w:r>
      <w:proofErr w:type="spellStart"/>
      <w:r w:rsidRPr="00B35439">
        <w:rPr>
          <w:lang w:eastAsia="en-US"/>
        </w:rPr>
        <w:t>Poor’s</w:t>
      </w:r>
      <w:proofErr w:type="spellEnd"/>
      <w:r w:rsidRPr="00B35439">
        <w:rPr>
          <w:lang w:eastAsia="en-US"/>
        </w:rPr>
        <w:t xml:space="preserve"> (США)];</w:t>
      </w:r>
    </w:p>
    <w:p w14:paraId="75CCA857" w14:textId="77777777" w:rsidR="00CD3F38" w:rsidRPr="00B35439" w:rsidRDefault="00CD3F38" w:rsidP="00CD3F38">
      <w:pPr>
        <w:widowControl w:val="0"/>
        <w:shd w:val="clear" w:color="auto" w:fill="FFFFFF"/>
        <w:tabs>
          <w:tab w:val="left" w:pos="1134"/>
        </w:tabs>
        <w:ind w:firstLine="709"/>
        <w:rPr>
          <w:lang w:eastAsia="en-US"/>
        </w:rPr>
      </w:pPr>
      <w:r w:rsidRPr="00B35439">
        <w:rPr>
          <w:lang w:eastAsia="en-US"/>
        </w:rPr>
        <w:t>“A-” [</w:t>
      </w:r>
      <w:proofErr w:type="spellStart"/>
      <w:r w:rsidRPr="00B35439">
        <w:rPr>
          <w:lang w:eastAsia="en-US"/>
        </w:rPr>
        <w:t>Fitch</w:t>
      </w:r>
      <w:proofErr w:type="spellEnd"/>
      <w:r w:rsidRPr="00B35439">
        <w:rPr>
          <w:lang w:eastAsia="en-US"/>
        </w:rPr>
        <w:t xml:space="preserve"> </w:t>
      </w:r>
      <w:proofErr w:type="spellStart"/>
      <w:r w:rsidRPr="00B35439">
        <w:rPr>
          <w:lang w:eastAsia="en-US"/>
        </w:rPr>
        <w:t>Ratings</w:t>
      </w:r>
      <w:proofErr w:type="spellEnd"/>
      <w:r w:rsidRPr="00B35439">
        <w:rPr>
          <w:lang w:eastAsia="en-US"/>
        </w:rPr>
        <w:t xml:space="preserve"> (Великобританія)];</w:t>
      </w:r>
    </w:p>
    <w:p w14:paraId="47630020" w14:textId="77777777" w:rsidR="00CD3F38" w:rsidRPr="00B35439" w:rsidRDefault="00CD3F38" w:rsidP="00CD3F38">
      <w:pPr>
        <w:widowControl w:val="0"/>
        <w:shd w:val="clear" w:color="auto" w:fill="FFFFFF"/>
        <w:tabs>
          <w:tab w:val="left" w:pos="1134"/>
        </w:tabs>
        <w:ind w:firstLine="709"/>
        <w:rPr>
          <w:lang w:eastAsia="en-US"/>
        </w:rPr>
      </w:pPr>
      <w:r w:rsidRPr="00B35439">
        <w:rPr>
          <w:lang w:eastAsia="en-US"/>
        </w:rPr>
        <w:t xml:space="preserve">“A-” [A.M. </w:t>
      </w:r>
      <w:proofErr w:type="spellStart"/>
      <w:r w:rsidRPr="00B35439">
        <w:rPr>
          <w:lang w:eastAsia="en-US"/>
        </w:rPr>
        <w:t>Best</w:t>
      </w:r>
      <w:proofErr w:type="spellEnd"/>
      <w:r w:rsidRPr="00B35439">
        <w:rPr>
          <w:lang w:eastAsia="en-US"/>
        </w:rPr>
        <w:t xml:space="preserve"> (США)].</w:t>
      </w:r>
    </w:p>
    <w:p w14:paraId="3C08A278" w14:textId="77777777" w:rsidR="00CD3F38" w:rsidRPr="00B35439" w:rsidRDefault="00CD3F38" w:rsidP="00CD3F38">
      <w:pPr>
        <w:widowControl w:val="0"/>
        <w:shd w:val="clear" w:color="auto" w:fill="FFFFFF"/>
        <w:tabs>
          <w:tab w:val="left" w:pos="1134"/>
        </w:tabs>
        <w:ind w:firstLine="709"/>
        <w:contextualSpacing/>
        <w:rPr>
          <w:lang w:eastAsia="en-US"/>
        </w:rPr>
      </w:pPr>
    </w:p>
    <w:p w14:paraId="324D9D14" w14:textId="77777777" w:rsidR="00CD3F38" w:rsidRPr="00B35439" w:rsidRDefault="00CD3F38" w:rsidP="00CD3F38">
      <w:pPr>
        <w:widowControl w:val="0"/>
        <w:numPr>
          <w:ilvl w:val="0"/>
          <w:numId w:val="4"/>
        </w:numPr>
        <w:tabs>
          <w:tab w:val="left" w:pos="1134"/>
        </w:tabs>
        <w:ind w:left="0" w:firstLine="709"/>
        <w:outlineLvl w:val="1"/>
        <w:rPr>
          <w:rFonts w:eastAsiaTheme="majorEastAsia" w:cstheme="majorBidi"/>
          <w:szCs w:val="26"/>
        </w:rPr>
      </w:pPr>
      <w:bookmarkStart w:id="53" w:name="n48"/>
      <w:bookmarkEnd w:id="53"/>
      <w:r w:rsidRPr="00B35439">
        <w:rPr>
          <w:rFonts w:eastAsiaTheme="majorEastAsia" w:cstheme="majorBidi"/>
          <w:szCs w:val="26"/>
        </w:rPr>
        <w:t>Державні цінні папери, що перебувають у біржовому списку, а також дебіторська заборгованість за нарахованими відсотками за такими державними цінними паперами включаються до суми прийнятних активів за умови, якщо право власності страховика на такі цінні папери підтверджено документально відповідно до законодавства України.</w:t>
      </w:r>
    </w:p>
    <w:p w14:paraId="668FC6AE" w14:textId="77777777" w:rsidR="00CD3F38" w:rsidRPr="00B35439" w:rsidRDefault="00CD3F38" w:rsidP="00CD3F38">
      <w:pPr>
        <w:widowControl w:val="0"/>
        <w:shd w:val="clear" w:color="auto" w:fill="FFFFFF"/>
        <w:tabs>
          <w:tab w:val="left" w:pos="1134"/>
        </w:tabs>
        <w:ind w:firstLine="709"/>
        <w:contextualSpacing/>
        <w:rPr>
          <w:lang w:eastAsia="en-US"/>
        </w:rPr>
      </w:pPr>
    </w:p>
    <w:p w14:paraId="34C5E6D1" w14:textId="77777777" w:rsidR="00CD3F38" w:rsidRPr="00B35439" w:rsidRDefault="00CD3F38" w:rsidP="00CD3F38">
      <w:pPr>
        <w:widowControl w:val="0"/>
        <w:numPr>
          <w:ilvl w:val="0"/>
          <w:numId w:val="4"/>
        </w:numPr>
        <w:tabs>
          <w:tab w:val="left" w:pos="1134"/>
        </w:tabs>
        <w:ind w:left="0" w:firstLine="709"/>
        <w:outlineLvl w:val="1"/>
        <w:rPr>
          <w:rFonts w:eastAsiaTheme="majorEastAsia" w:cstheme="majorBidi"/>
          <w:szCs w:val="26"/>
        </w:rPr>
      </w:pPr>
      <w:bookmarkStart w:id="54" w:name="n49"/>
      <w:bookmarkEnd w:id="54"/>
      <w:r w:rsidRPr="00B35439">
        <w:rPr>
          <w:rFonts w:eastAsiaTheme="majorEastAsia" w:cstheme="majorBidi"/>
          <w:szCs w:val="26"/>
        </w:rPr>
        <w:t xml:space="preserve">Права вимоги до </w:t>
      </w:r>
      <w:proofErr w:type="spellStart"/>
      <w:r w:rsidRPr="00B35439">
        <w:rPr>
          <w:rFonts w:eastAsiaTheme="majorEastAsia" w:cstheme="majorBidi"/>
          <w:szCs w:val="26"/>
        </w:rPr>
        <w:t>перестраховиків</w:t>
      </w:r>
      <w:proofErr w:type="spellEnd"/>
      <w:r w:rsidRPr="00B35439">
        <w:rPr>
          <w:rFonts w:eastAsiaTheme="majorEastAsia" w:cstheme="majorBidi"/>
          <w:szCs w:val="26"/>
        </w:rPr>
        <w:t xml:space="preserve"> включаються до суми прийнятних активів.</w:t>
      </w:r>
    </w:p>
    <w:p w14:paraId="27349F18" w14:textId="77777777" w:rsidR="00CD3F38" w:rsidRPr="00B35439" w:rsidRDefault="00CD3F38" w:rsidP="00CD3F38">
      <w:pPr>
        <w:widowControl w:val="0"/>
        <w:shd w:val="clear" w:color="auto" w:fill="FFFFFF"/>
        <w:tabs>
          <w:tab w:val="left" w:pos="1134"/>
        </w:tabs>
        <w:ind w:firstLine="709"/>
        <w:contextualSpacing/>
        <w:rPr>
          <w:lang w:eastAsia="en-US"/>
        </w:rPr>
      </w:pPr>
    </w:p>
    <w:p w14:paraId="28C813EB" w14:textId="77777777" w:rsidR="00CD3F38" w:rsidRPr="00B35439" w:rsidRDefault="00CD3F38" w:rsidP="00CD3F38">
      <w:pPr>
        <w:widowControl w:val="0"/>
        <w:numPr>
          <w:ilvl w:val="0"/>
          <w:numId w:val="4"/>
        </w:numPr>
        <w:tabs>
          <w:tab w:val="left" w:pos="1134"/>
        </w:tabs>
        <w:ind w:left="0" w:firstLine="709"/>
        <w:outlineLvl w:val="1"/>
        <w:rPr>
          <w:rFonts w:eastAsiaTheme="majorEastAsia" w:cstheme="majorBidi"/>
          <w:szCs w:val="26"/>
        </w:rPr>
      </w:pPr>
      <w:bookmarkStart w:id="55" w:name="n50"/>
      <w:bookmarkStart w:id="56" w:name="n85"/>
      <w:bookmarkStart w:id="57" w:name="n86"/>
      <w:bookmarkStart w:id="58" w:name="n87"/>
      <w:bookmarkStart w:id="59" w:name="n88"/>
      <w:bookmarkStart w:id="60" w:name="n89"/>
      <w:bookmarkStart w:id="61" w:name="n51"/>
      <w:bookmarkStart w:id="62" w:name="n52"/>
      <w:bookmarkStart w:id="63" w:name="_Hlk57713707"/>
      <w:bookmarkEnd w:id="55"/>
      <w:bookmarkEnd w:id="56"/>
      <w:bookmarkEnd w:id="57"/>
      <w:bookmarkEnd w:id="58"/>
      <w:bookmarkEnd w:id="59"/>
      <w:bookmarkEnd w:id="60"/>
      <w:bookmarkEnd w:id="61"/>
      <w:bookmarkEnd w:id="62"/>
      <w:r w:rsidRPr="00B35439">
        <w:rPr>
          <w:rFonts w:eastAsiaTheme="majorEastAsia" w:cstheme="majorBidi"/>
          <w:szCs w:val="26"/>
        </w:rPr>
        <w:t>Кредити страхувальникам ‒ фізичним особам, які уклали договори страхування життя, у межах викупної суми на момент видачі кредиту та під заставу викупної суми, включаються до суми прийнятних активів у розмірі не більше математичних резервів, сформованих за такими договорами страхування життя.</w:t>
      </w:r>
    </w:p>
    <w:p w14:paraId="1EB0DAB1" w14:textId="77777777" w:rsidR="00CD3F38" w:rsidRPr="00B35439" w:rsidRDefault="00CD3F38" w:rsidP="00CD3F38">
      <w:pPr>
        <w:widowControl w:val="0"/>
        <w:shd w:val="clear" w:color="auto" w:fill="FFFFFF"/>
        <w:tabs>
          <w:tab w:val="left" w:pos="1134"/>
        </w:tabs>
        <w:ind w:firstLine="709"/>
        <w:contextualSpacing/>
        <w:rPr>
          <w:lang w:eastAsia="en-US"/>
        </w:rPr>
      </w:pPr>
    </w:p>
    <w:p w14:paraId="01C2743F" w14:textId="77777777" w:rsidR="00CD3F38" w:rsidRPr="00B35439" w:rsidRDefault="00CD3F38" w:rsidP="00CD3F38">
      <w:pPr>
        <w:widowControl w:val="0"/>
        <w:numPr>
          <w:ilvl w:val="0"/>
          <w:numId w:val="4"/>
        </w:numPr>
        <w:tabs>
          <w:tab w:val="left" w:pos="1134"/>
        </w:tabs>
        <w:ind w:left="0" w:firstLine="709"/>
        <w:outlineLvl w:val="1"/>
        <w:rPr>
          <w:rFonts w:eastAsiaTheme="majorEastAsia" w:cstheme="majorBidi"/>
          <w:szCs w:val="26"/>
        </w:rPr>
      </w:pPr>
      <w:bookmarkStart w:id="64" w:name="n53"/>
      <w:bookmarkEnd w:id="64"/>
      <w:r w:rsidRPr="00B35439">
        <w:rPr>
          <w:rFonts w:eastAsiaTheme="majorEastAsia" w:cstheme="majorBidi"/>
          <w:szCs w:val="26"/>
        </w:rPr>
        <w:t>Готівка в касі включається до суми прийнятних активів в обсягах лімітів залишків каси.</w:t>
      </w:r>
    </w:p>
    <w:p w14:paraId="1BF2545A" w14:textId="77777777" w:rsidR="00CD3F38" w:rsidRPr="00B35439" w:rsidRDefault="00CD3F38" w:rsidP="00CD3F38">
      <w:pPr>
        <w:widowControl w:val="0"/>
        <w:shd w:val="clear" w:color="auto" w:fill="FFFFFF"/>
        <w:tabs>
          <w:tab w:val="left" w:pos="1134"/>
        </w:tabs>
        <w:ind w:firstLine="709"/>
        <w:contextualSpacing/>
        <w:rPr>
          <w:lang w:eastAsia="en-US"/>
        </w:rPr>
      </w:pPr>
    </w:p>
    <w:p w14:paraId="3A9AD4C5" w14:textId="77777777" w:rsidR="00CD3F38" w:rsidRPr="00B35439" w:rsidRDefault="00CD3F38" w:rsidP="00CD3F38">
      <w:pPr>
        <w:widowControl w:val="0"/>
        <w:numPr>
          <w:ilvl w:val="0"/>
          <w:numId w:val="4"/>
        </w:numPr>
        <w:tabs>
          <w:tab w:val="left" w:pos="1134"/>
        </w:tabs>
        <w:ind w:left="0" w:firstLine="709"/>
        <w:outlineLvl w:val="1"/>
        <w:rPr>
          <w:rFonts w:eastAsiaTheme="majorEastAsia" w:cstheme="majorBidi"/>
          <w:szCs w:val="26"/>
        </w:rPr>
      </w:pPr>
      <w:bookmarkStart w:id="65" w:name="n54"/>
      <w:bookmarkEnd w:id="65"/>
      <w:r w:rsidRPr="00B35439">
        <w:rPr>
          <w:rFonts w:eastAsiaTheme="majorEastAsia" w:cstheme="majorBidi"/>
          <w:szCs w:val="26"/>
        </w:rPr>
        <w:t>Залишки коштів у централізованих страхових резервних фондах, що сплачені страховиками до централізованих страхових резервних фондів Моторного (транспортного) страхового бюро України відповідно до Закону про обов’язкове страхування, включаються до суми прийнятних активів.</w:t>
      </w:r>
    </w:p>
    <w:p w14:paraId="60E14C67" w14:textId="77777777" w:rsidR="00CD3F38" w:rsidRPr="00B35439" w:rsidRDefault="00CD3F38" w:rsidP="00CD3F38">
      <w:pPr>
        <w:widowControl w:val="0"/>
        <w:shd w:val="clear" w:color="auto" w:fill="FFFFFF"/>
        <w:tabs>
          <w:tab w:val="left" w:pos="1134"/>
        </w:tabs>
        <w:ind w:firstLine="709"/>
        <w:contextualSpacing/>
        <w:rPr>
          <w:lang w:eastAsia="en-US"/>
        </w:rPr>
      </w:pPr>
    </w:p>
    <w:p w14:paraId="3E3CE628" w14:textId="77777777" w:rsidR="00CD3F38" w:rsidRPr="00B35439" w:rsidRDefault="00CD3F38" w:rsidP="00CD3F38">
      <w:pPr>
        <w:widowControl w:val="0"/>
        <w:numPr>
          <w:ilvl w:val="0"/>
          <w:numId w:val="4"/>
        </w:numPr>
        <w:tabs>
          <w:tab w:val="left" w:pos="1134"/>
        </w:tabs>
        <w:ind w:left="0" w:firstLine="709"/>
        <w:outlineLvl w:val="1"/>
        <w:rPr>
          <w:rFonts w:eastAsiaTheme="majorEastAsia" w:cstheme="majorBidi"/>
          <w:szCs w:val="26"/>
        </w:rPr>
      </w:pPr>
      <w:bookmarkStart w:id="66" w:name="n55"/>
      <w:bookmarkEnd w:id="66"/>
      <w:r w:rsidRPr="00B35439">
        <w:rPr>
          <w:rFonts w:eastAsiaTheme="majorEastAsia" w:cstheme="majorBidi"/>
          <w:szCs w:val="26"/>
        </w:rPr>
        <w:t>Непрострочена дебіторська заборгованість включається до суми прийнятних активів з урахуванням наступних обмежень:</w:t>
      </w:r>
    </w:p>
    <w:p w14:paraId="41566519" w14:textId="77777777" w:rsidR="00CD3F38" w:rsidRPr="00B35439" w:rsidRDefault="00CD3F38" w:rsidP="00CD3F38">
      <w:pPr>
        <w:widowControl w:val="0"/>
        <w:shd w:val="clear" w:color="auto" w:fill="FFFFFF"/>
        <w:tabs>
          <w:tab w:val="left" w:pos="1134"/>
        </w:tabs>
        <w:ind w:firstLine="709"/>
        <w:contextualSpacing/>
        <w:rPr>
          <w:lang w:eastAsia="en-US"/>
        </w:rPr>
      </w:pPr>
    </w:p>
    <w:p w14:paraId="2A713E62" w14:textId="77777777" w:rsidR="00CD3F38" w:rsidRPr="00B35439" w:rsidRDefault="00CD3F38" w:rsidP="00CD3F38">
      <w:pPr>
        <w:widowControl w:val="0"/>
        <w:numPr>
          <w:ilvl w:val="0"/>
          <w:numId w:val="24"/>
        </w:numPr>
        <w:shd w:val="clear" w:color="auto" w:fill="FFFFFF"/>
        <w:tabs>
          <w:tab w:val="left" w:pos="1134"/>
        </w:tabs>
        <w:ind w:left="0" w:firstLine="709"/>
        <w:contextualSpacing/>
        <w:rPr>
          <w:lang w:eastAsia="en-US"/>
        </w:rPr>
      </w:pPr>
      <w:r w:rsidRPr="00B35439">
        <w:rPr>
          <w:lang w:eastAsia="en-US"/>
        </w:rPr>
        <w:t>за укладеними договорами страхування та вхідного перестрахування за окремим видом страхування в обсязі не більше резерву незароблених премій за таким видом страхування;</w:t>
      </w:r>
    </w:p>
    <w:p w14:paraId="55730852" w14:textId="77777777" w:rsidR="00CD3F38" w:rsidRPr="00B35439" w:rsidRDefault="00CD3F38" w:rsidP="00CD3F38">
      <w:pPr>
        <w:widowControl w:val="0"/>
        <w:shd w:val="clear" w:color="auto" w:fill="FFFFFF"/>
        <w:tabs>
          <w:tab w:val="left" w:pos="1134"/>
        </w:tabs>
        <w:ind w:firstLine="709"/>
        <w:contextualSpacing/>
        <w:rPr>
          <w:lang w:eastAsia="en-US"/>
        </w:rPr>
      </w:pPr>
    </w:p>
    <w:p w14:paraId="39132002" w14:textId="77777777" w:rsidR="00CD3F38" w:rsidRPr="00B35439" w:rsidRDefault="00CD3F38" w:rsidP="00CD3F38">
      <w:pPr>
        <w:widowControl w:val="0"/>
        <w:numPr>
          <w:ilvl w:val="0"/>
          <w:numId w:val="24"/>
        </w:numPr>
        <w:shd w:val="clear" w:color="auto" w:fill="FFFFFF"/>
        <w:tabs>
          <w:tab w:val="left" w:pos="1134"/>
        </w:tabs>
        <w:ind w:left="0" w:firstLine="709"/>
        <w:contextualSpacing/>
        <w:rPr>
          <w:lang w:eastAsia="en-US"/>
        </w:rPr>
      </w:pPr>
      <w:bookmarkStart w:id="67" w:name="n261"/>
      <w:bookmarkStart w:id="68" w:name="n262"/>
      <w:bookmarkStart w:id="69" w:name="n277"/>
      <w:bookmarkStart w:id="70" w:name="n263"/>
      <w:bookmarkStart w:id="71" w:name="n278"/>
      <w:bookmarkStart w:id="72" w:name="n264"/>
      <w:bookmarkEnd w:id="67"/>
      <w:bookmarkEnd w:id="68"/>
      <w:bookmarkEnd w:id="69"/>
      <w:bookmarkEnd w:id="70"/>
      <w:bookmarkEnd w:id="71"/>
      <w:bookmarkEnd w:id="72"/>
      <w:r w:rsidRPr="00B35439">
        <w:rPr>
          <w:lang w:eastAsia="en-US"/>
        </w:rPr>
        <w:t>за укладеними договорами страхування та вхідного перестрахування з обов’язкового страхування цивільної відповідальності оператора ядерної установки за ядерну шкоду, яка може бути заподіяна внаслідок ядерного інциденту, та за договорами, визначеними в пункті 5 розділу II Методики, в обсязі не більше резерву незароблених премій за такими договорами;</w:t>
      </w:r>
    </w:p>
    <w:p w14:paraId="2DBFCDFC" w14:textId="77777777" w:rsidR="00CD3F38" w:rsidRPr="00B35439" w:rsidRDefault="00CD3F38" w:rsidP="00CD3F38">
      <w:pPr>
        <w:widowControl w:val="0"/>
        <w:shd w:val="clear" w:color="auto" w:fill="FFFFFF"/>
        <w:tabs>
          <w:tab w:val="left" w:pos="1134"/>
        </w:tabs>
        <w:ind w:firstLine="709"/>
        <w:contextualSpacing/>
        <w:rPr>
          <w:lang w:eastAsia="en-US"/>
        </w:rPr>
      </w:pPr>
    </w:p>
    <w:p w14:paraId="324E0D8C" w14:textId="51519D5B" w:rsidR="00CD3F38" w:rsidRPr="00B35439" w:rsidRDefault="00CD3F38" w:rsidP="00CD3F38">
      <w:pPr>
        <w:widowControl w:val="0"/>
        <w:numPr>
          <w:ilvl w:val="0"/>
          <w:numId w:val="24"/>
        </w:numPr>
        <w:shd w:val="clear" w:color="auto" w:fill="FFFFFF"/>
        <w:tabs>
          <w:tab w:val="left" w:pos="1134"/>
        </w:tabs>
        <w:ind w:left="0" w:firstLine="709"/>
        <w:contextualSpacing/>
        <w:rPr>
          <w:lang w:eastAsia="en-US"/>
        </w:rPr>
      </w:pPr>
      <w:r w:rsidRPr="00B35439">
        <w:rPr>
          <w:lang w:eastAsia="en-US"/>
        </w:rPr>
        <w:t>за укладеними договорами страхування та вхідного перестрахування з виду страхування, не зазначеного у підпунктах 1, 2 пункту 1</w:t>
      </w:r>
      <w:r w:rsidR="00597212" w:rsidRPr="00B35439">
        <w:rPr>
          <w:lang w:eastAsia="en-US"/>
        </w:rPr>
        <w:t>5</w:t>
      </w:r>
      <w:r w:rsidRPr="00B35439">
        <w:rPr>
          <w:lang w:eastAsia="en-US"/>
        </w:rPr>
        <w:t xml:space="preserve"> розділу ІІ цього Положення, в обсязі не більше резерву незароблених премій за таким видом страхування;</w:t>
      </w:r>
    </w:p>
    <w:p w14:paraId="776A74E5" w14:textId="77777777" w:rsidR="00CD3F38" w:rsidRPr="00B35439" w:rsidRDefault="00CD3F38" w:rsidP="00CD3F38">
      <w:pPr>
        <w:widowControl w:val="0"/>
        <w:shd w:val="clear" w:color="auto" w:fill="FFFFFF"/>
        <w:tabs>
          <w:tab w:val="left" w:pos="1134"/>
        </w:tabs>
        <w:ind w:firstLine="709"/>
        <w:contextualSpacing/>
        <w:rPr>
          <w:lang w:eastAsia="en-US"/>
        </w:rPr>
      </w:pPr>
    </w:p>
    <w:p w14:paraId="4A136881" w14:textId="77777777" w:rsidR="00CD3F38" w:rsidRPr="00B35439" w:rsidRDefault="00CD3F38" w:rsidP="00CD3F38">
      <w:pPr>
        <w:widowControl w:val="0"/>
        <w:numPr>
          <w:ilvl w:val="0"/>
          <w:numId w:val="24"/>
        </w:numPr>
        <w:shd w:val="clear" w:color="auto" w:fill="FFFFFF"/>
        <w:tabs>
          <w:tab w:val="left" w:pos="1134"/>
        </w:tabs>
        <w:ind w:left="0" w:firstLine="709"/>
        <w:contextualSpacing/>
        <w:rPr>
          <w:lang w:eastAsia="en-US"/>
        </w:rPr>
      </w:pPr>
      <w:r w:rsidRPr="00B35439">
        <w:rPr>
          <w:lang w:eastAsia="en-US"/>
        </w:rPr>
        <w:t>за укладеними договорами страхування життя та вхідного перестрахування із страхування життя;</w:t>
      </w:r>
    </w:p>
    <w:p w14:paraId="659D0BAE" w14:textId="77777777" w:rsidR="00CD3F38" w:rsidRPr="00B35439" w:rsidRDefault="00CD3F38" w:rsidP="00CD3F38">
      <w:pPr>
        <w:widowControl w:val="0"/>
        <w:shd w:val="clear" w:color="auto" w:fill="FFFFFF"/>
        <w:tabs>
          <w:tab w:val="left" w:pos="1134"/>
        </w:tabs>
        <w:ind w:firstLine="709"/>
        <w:contextualSpacing/>
        <w:rPr>
          <w:lang w:eastAsia="en-US"/>
        </w:rPr>
      </w:pPr>
      <w:bookmarkStart w:id="73" w:name="n279"/>
      <w:bookmarkStart w:id="74" w:name="n265"/>
      <w:bookmarkEnd w:id="73"/>
      <w:bookmarkEnd w:id="74"/>
    </w:p>
    <w:p w14:paraId="54D604DA" w14:textId="77777777" w:rsidR="00CD3F38" w:rsidRPr="00B35439" w:rsidRDefault="00CD3F38" w:rsidP="00CD3F38">
      <w:pPr>
        <w:widowControl w:val="0"/>
        <w:numPr>
          <w:ilvl w:val="0"/>
          <w:numId w:val="24"/>
        </w:numPr>
        <w:shd w:val="clear" w:color="auto" w:fill="FFFFFF"/>
        <w:tabs>
          <w:tab w:val="left" w:pos="1134"/>
        </w:tabs>
        <w:ind w:left="0" w:firstLine="709"/>
        <w:contextualSpacing/>
        <w:rPr>
          <w:lang w:eastAsia="en-US"/>
        </w:rPr>
      </w:pPr>
      <w:bookmarkStart w:id="75" w:name="n266"/>
      <w:bookmarkStart w:id="76" w:name="n267"/>
      <w:bookmarkStart w:id="77" w:name="n268"/>
      <w:bookmarkStart w:id="78" w:name="n269"/>
      <w:bookmarkStart w:id="79" w:name="n270"/>
      <w:bookmarkStart w:id="80" w:name="n271"/>
      <w:bookmarkStart w:id="81" w:name="n272"/>
      <w:bookmarkStart w:id="82" w:name="n273"/>
      <w:bookmarkStart w:id="83" w:name="n274"/>
      <w:bookmarkStart w:id="84" w:name="n275"/>
      <w:bookmarkStart w:id="85" w:name="n280"/>
      <w:bookmarkStart w:id="86" w:name="n276"/>
      <w:bookmarkEnd w:id="75"/>
      <w:bookmarkEnd w:id="76"/>
      <w:bookmarkEnd w:id="77"/>
      <w:bookmarkEnd w:id="78"/>
      <w:bookmarkEnd w:id="79"/>
      <w:bookmarkEnd w:id="80"/>
      <w:bookmarkEnd w:id="81"/>
      <w:bookmarkEnd w:id="82"/>
      <w:bookmarkEnd w:id="83"/>
      <w:bookmarkEnd w:id="84"/>
      <w:bookmarkEnd w:id="85"/>
      <w:bookmarkEnd w:id="86"/>
      <w:r w:rsidRPr="00B35439">
        <w:rPr>
          <w:lang w:eastAsia="en-US"/>
        </w:rPr>
        <w:t>за укладеними договорами вихідного перестрахування з обов’язкового страхування цивільної відповідальності оператора ядерної установки за ядерну шкоду, яка може бути заподіяна внаслідок ядерного інциденту, та договорами, визначеними в пункті 5 розділу II Методики;</w:t>
      </w:r>
    </w:p>
    <w:p w14:paraId="3184F597" w14:textId="77777777" w:rsidR="00CD3F38" w:rsidRPr="00B35439" w:rsidRDefault="00CD3F38" w:rsidP="00CD3F38">
      <w:pPr>
        <w:widowControl w:val="0"/>
        <w:shd w:val="clear" w:color="auto" w:fill="FFFFFF"/>
        <w:tabs>
          <w:tab w:val="left" w:pos="1134"/>
        </w:tabs>
        <w:ind w:firstLine="709"/>
        <w:contextualSpacing/>
        <w:rPr>
          <w:lang w:eastAsia="en-US"/>
        </w:rPr>
      </w:pPr>
    </w:p>
    <w:p w14:paraId="54CE65E4" w14:textId="430E82AD" w:rsidR="00CD3F38" w:rsidRPr="00B35439" w:rsidRDefault="00CD3F38" w:rsidP="00CD3F38">
      <w:pPr>
        <w:widowControl w:val="0"/>
        <w:numPr>
          <w:ilvl w:val="0"/>
          <w:numId w:val="24"/>
        </w:numPr>
        <w:shd w:val="clear" w:color="auto" w:fill="FFFFFF"/>
        <w:tabs>
          <w:tab w:val="left" w:pos="1134"/>
        </w:tabs>
        <w:ind w:left="0" w:firstLine="709"/>
        <w:contextualSpacing/>
        <w:rPr>
          <w:lang w:eastAsia="en-US"/>
        </w:rPr>
      </w:pPr>
      <w:r w:rsidRPr="00B35439">
        <w:rPr>
          <w:lang w:eastAsia="en-US"/>
        </w:rPr>
        <w:t xml:space="preserve">за укладеними договорами вихідного перестрахування іншими, ніж </w:t>
      </w:r>
      <w:r w:rsidRPr="00B35439">
        <w:rPr>
          <w:lang w:eastAsia="en-US"/>
        </w:rPr>
        <w:lastRenderedPageBreak/>
        <w:t>зазначено у підпункті 5 пункту 1</w:t>
      </w:r>
      <w:r w:rsidR="00597212" w:rsidRPr="00B35439">
        <w:rPr>
          <w:lang w:eastAsia="en-US"/>
        </w:rPr>
        <w:t>5</w:t>
      </w:r>
      <w:r w:rsidRPr="00B35439">
        <w:rPr>
          <w:lang w:eastAsia="en-US"/>
        </w:rPr>
        <w:t xml:space="preserve"> розділу ІІ цього Положення, окрім дебіторської заборгованості за премії (їх частини), передані у перестрахування, за такими договорами;</w:t>
      </w:r>
    </w:p>
    <w:p w14:paraId="0D27B2F9" w14:textId="77777777" w:rsidR="00CD3F38" w:rsidRPr="00B35439" w:rsidRDefault="00CD3F38" w:rsidP="00CD3F38">
      <w:pPr>
        <w:widowControl w:val="0"/>
        <w:shd w:val="clear" w:color="auto" w:fill="FFFFFF"/>
        <w:tabs>
          <w:tab w:val="left" w:pos="1134"/>
        </w:tabs>
        <w:ind w:firstLine="709"/>
        <w:contextualSpacing/>
        <w:rPr>
          <w:lang w:eastAsia="en-US"/>
        </w:rPr>
      </w:pPr>
    </w:p>
    <w:p w14:paraId="4709B773" w14:textId="77777777" w:rsidR="00CD3F38" w:rsidRPr="00B35439" w:rsidRDefault="00CD3F38" w:rsidP="00CD3F38">
      <w:pPr>
        <w:widowControl w:val="0"/>
        <w:numPr>
          <w:ilvl w:val="0"/>
          <w:numId w:val="24"/>
        </w:numPr>
        <w:shd w:val="clear" w:color="auto" w:fill="FFFFFF"/>
        <w:tabs>
          <w:tab w:val="left" w:pos="1134"/>
        </w:tabs>
        <w:ind w:left="0" w:firstLine="709"/>
        <w:contextualSpacing/>
        <w:rPr>
          <w:lang w:eastAsia="en-US"/>
        </w:rPr>
      </w:pPr>
      <w:r w:rsidRPr="00B35439">
        <w:rPr>
          <w:lang w:eastAsia="en-US"/>
        </w:rPr>
        <w:t>за</w:t>
      </w:r>
      <w:bookmarkStart w:id="87" w:name="n281"/>
      <w:bookmarkStart w:id="88" w:name="n56"/>
      <w:bookmarkEnd w:id="87"/>
      <w:bookmarkEnd w:id="88"/>
      <w:r w:rsidRPr="00B35439">
        <w:rPr>
          <w:lang w:eastAsia="en-US"/>
        </w:rPr>
        <w:t xml:space="preserve"> розміщеними грошовими коштами страховика в гарантійних фондах </w:t>
      </w:r>
      <w:proofErr w:type="spellStart"/>
      <w:r w:rsidRPr="00B35439">
        <w:rPr>
          <w:lang w:eastAsia="en-US"/>
        </w:rPr>
        <w:t>асистанських</w:t>
      </w:r>
      <w:proofErr w:type="spellEnd"/>
      <w:r w:rsidRPr="00B35439">
        <w:rPr>
          <w:lang w:eastAsia="en-US"/>
        </w:rPr>
        <w:t xml:space="preserve"> компаній та/або безпосередньо в гарантійних фондах закладів охорони здоров’я виключно з метою гарантування медичного обслуговування клієнтів страховика в закладах охорони здоров’я, включаючи забезпечення лікарськими засобами та виробами медичного призначення, відповідно до договорів страхування в разі настання страхових випадків;</w:t>
      </w:r>
    </w:p>
    <w:p w14:paraId="5ACF8B12" w14:textId="77777777" w:rsidR="00CD3F38" w:rsidRPr="00B35439" w:rsidRDefault="00CD3F38" w:rsidP="00CD3F38">
      <w:pPr>
        <w:widowControl w:val="0"/>
        <w:shd w:val="clear" w:color="auto" w:fill="FFFFFF"/>
        <w:tabs>
          <w:tab w:val="left" w:pos="1134"/>
        </w:tabs>
        <w:ind w:firstLine="709"/>
        <w:contextualSpacing/>
        <w:rPr>
          <w:lang w:eastAsia="en-US"/>
        </w:rPr>
      </w:pPr>
    </w:p>
    <w:p w14:paraId="671718A3" w14:textId="77777777" w:rsidR="00CD3F38" w:rsidRPr="00B35439" w:rsidRDefault="00CD3F38" w:rsidP="00CD3F38">
      <w:pPr>
        <w:widowControl w:val="0"/>
        <w:numPr>
          <w:ilvl w:val="0"/>
          <w:numId w:val="24"/>
        </w:numPr>
        <w:shd w:val="clear" w:color="auto" w:fill="FFFFFF"/>
        <w:tabs>
          <w:tab w:val="left" w:pos="1134"/>
        </w:tabs>
        <w:ind w:left="0" w:firstLine="709"/>
        <w:contextualSpacing/>
        <w:rPr>
          <w:lang w:eastAsia="en-US"/>
        </w:rPr>
      </w:pPr>
      <w:r w:rsidRPr="00B35439">
        <w:rPr>
          <w:lang w:eastAsia="en-US"/>
        </w:rPr>
        <w:t xml:space="preserve">за </w:t>
      </w:r>
      <w:bookmarkStart w:id="89" w:name="n220"/>
      <w:bookmarkStart w:id="90" w:name="n57"/>
      <w:bookmarkEnd w:id="89"/>
      <w:bookmarkEnd w:id="90"/>
      <w:r w:rsidRPr="00B35439">
        <w:rPr>
          <w:lang w:eastAsia="en-US"/>
        </w:rPr>
        <w:t>здійсненими страховими виплатами (страховими відшкодуванням) за іншого страховика за договорами обов’язкового страхування (перестрахування) цивільно-правової відповідальності власників наземних транспортних засобів та угодами з прямого врегулювання збитків (вимог) за такими договорами;</w:t>
      </w:r>
    </w:p>
    <w:p w14:paraId="7C192304" w14:textId="77777777" w:rsidR="00CD3F38" w:rsidRPr="00B35439" w:rsidRDefault="00CD3F38" w:rsidP="00CD3F38">
      <w:pPr>
        <w:widowControl w:val="0"/>
        <w:shd w:val="clear" w:color="auto" w:fill="FFFFFF"/>
        <w:tabs>
          <w:tab w:val="left" w:pos="1134"/>
        </w:tabs>
        <w:ind w:firstLine="709"/>
        <w:contextualSpacing/>
        <w:rPr>
          <w:lang w:eastAsia="en-US"/>
        </w:rPr>
      </w:pPr>
    </w:p>
    <w:p w14:paraId="6B614FAE" w14:textId="77777777" w:rsidR="00CD3F38" w:rsidRPr="00B35439" w:rsidRDefault="00CD3F38" w:rsidP="00CD3F38">
      <w:pPr>
        <w:widowControl w:val="0"/>
        <w:numPr>
          <w:ilvl w:val="0"/>
          <w:numId w:val="24"/>
        </w:numPr>
        <w:shd w:val="clear" w:color="auto" w:fill="FFFFFF"/>
        <w:tabs>
          <w:tab w:val="left" w:pos="1134"/>
        </w:tabs>
        <w:ind w:left="0" w:firstLine="709"/>
        <w:contextualSpacing/>
        <w:rPr>
          <w:lang w:eastAsia="en-US"/>
        </w:rPr>
      </w:pPr>
      <w:r w:rsidRPr="00B35439">
        <w:rPr>
          <w:lang w:eastAsia="en-US"/>
        </w:rPr>
        <w:t xml:space="preserve">за здійсненими страховими виплатами (страховими </w:t>
      </w:r>
      <w:proofErr w:type="spellStart"/>
      <w:r w:rsidRPr="00B35439">
        <w:rPr>
          <w:lang w:eastAsia="en-US"/>
        </w:rPr>
        <w:t>відшкодуваннями</w:t>
      </w:r>
      <w:proofErr w:type="spellEnd"/>
      <w:r w:rsidRPr="00B35439">
        <w:rPr>
          <w:lang w:eastAsia="en-US"/>
        </w:rPr>
        <w:t>) за іншого страховика згідно з умовами договору співстрахування, укладеного разом із таким страховиком.</w:t>
      </w:r>
    </w:p>
    <w:p w14:paraId="0F3AB08A" w14:textId="77777777" w:rsidR="00CD3F38" w:rsidRPr="00B35439" w:rsidRDefault="00CD3F38" w:rsidP="00CD3F38">
      <w:pPr>
        <w:widowControl w:val="0"/>
        <w:shd w:val="clear" w:color="auto" w:fill="FFFFFF"/>
        <w:tabs>
          <w:tab w:val="left" w:pos="1134"/>
        </w:tabs>
        <w:ind w:firstLine="709"/>
        <w:rPr>
          <w:lang w:eastAsia="en-US"/>
        </w:rPr>
      </w:pPr>
    </w:p>
    <w:p w14:paraId="59934804" w14:textId="1EB80B41" w:rsidR="00CD3F38" w:rsidRPr="00B35439" w:rsidRDefault="00CD3F38" w:rsidP="00CD3F38">
      <w:pPr>
        <w:widowControl w:val="0"/>
        <w:numPr>
          <w:ilvl w:val="0"/>
          <w:numId w:val="4"/>
        </w:numPr>
        <w:tabs>
          <w:tab w:val="left" w:pos="1134"/>
        </w:tabs>
        <w:ind w:left="0" w:firstLine="709"/>
        <w:outlineLvl w:val="1"/>
        <w:rPr>
          <w:rFonts w:eastAsiaTheme="majorEastAsia" w:cstheme="majorBidi"/>
          <w:szCs w:val="26"/>
        </w:rPr>
      </w:pPr>
      <w:r w:rsidRPr="00B35439">
        <w:rPr>
          <w:rFonts w:eastAsiaTheme="majorEastAsia" w:cstheme="majorBidi"/>
          <w:szCs w:val="26"/>
        </w:rPr>
        <w:t>Непрострочена дебіторська заборгованість, визначена у пункті 1</w:t>
      </w:r>
      <w:r w:rsidR="00597212" w:rsidRPr="00B35439">
        <w:rPr>
          <w:rFonts w:eastAsiaTheme="majorEastAsia" w:cstheme="majorBidi"/>
          <w:szCs w:val="26"/>
        </w:rPr>
        <w:t>5</w:t>
      </w:r>
      <w:r w:rsidRPr="00B35439">
        <w:rPr>
          <w:rFonts w:eastAsiaTheme="majorEastAsia" w:cstheme="majorBidi"/>
          <w:szCs w:val="26"/>
        </w:rPr>
        <w:t xml:space="preserve"> розділу ІІ цього Положення, включається до суми прийнятних активів в обсязі, що не перевищує:</w:t>
      </w:r>
    </w:p>
    <w:bookmarkEnd w:id="63"/>
    <w:p w14:paraId="37D98943" w14:textId="77777777" w:rsidR="00FF0F38" w:rsidRPr="00B35439" w:rsidRDefault="00FF0F38" w:rsidP="00CD3F38">
      <w:pPr>
        <w:widowControl w:val="0"/>
        <w:shd w:val="clear" w:color="auto" w:fill="FFFFFF"/>
        <w:tabs>
          <w:tab w:val="left" w:pos="1134"/>
        </w:tabs>
        <w:ind w:firstLine="709"/>
        <w:rPr>
          <w:lang w:eastAsia="en-US"/>
        </w:rPr>
      </w:pPr>
    </w:p>
    <w:p w14:paraId="023EAFE7" w14:textId="03CA2716" w:rsidR="00CD3F38" w:rsidRPr="00B35439" w:rsidRDefault="00CD3F38" w:rsidP="0086348E">
      <w:pPr>
        <w:pStyle w:val="af3"/>
        <w:widowControl w:val="0"/>
        <w:numPr>
          <w:ilvl w:val="0"/>
          <w:numId w:val="45"/>
        </w:numPr>
        <w:shd w:val="clear" w:color="auto" w:fill="FFFFFF"/>
        <w:tabs>
          <w:tab w:val="left" w:pos="1134"/>
        </w:tabs>
        <w:ind w:left="0" w:firstLine="709"/>
        <w:rPr>
          <w:lang w:eastAsia="en-US"/>
        </w:rPr>
      </w:pPr>
      <w:r w:rsidRPr="00B35439">
        <w:rPr>
          <w:lang w:eastAsia="en-US"/>
        </w:rPr>
        <w:t>100 відсотків дебіторської заборгованості, з моменту визнання якої минуло не більше 180 днів;</w:t>
      </w:r>
    </w:p>
    <w:p w14:paraId="3ABF950B" w14:textId="77777777" w:rsidR="00FF0F38" w:rsidRPr="00B35439" w:rsidRDefault="00FF0F38" w:rsidP="0086348E">
      <w:pPr>
        <w:widowControl w:val="0"/>
        <w:shd w:val="clear" w:color="auto" w:fill="FFFFFF"/>
        <w:tabs>
          <w:tab w:val="left" w:pos="1134"/>
        </w:tabs>
        <w:ind w:firstLine="709"/>
        <w:rPr>
          <w:lang w:eastAsia="en-US"/>
        </w:rPr>
      </w:pPr>
    </w:p>
    <w:p w14:paraId="39EEDA5B" w14:textId="5F3420B2" w:rsidR="00CD3F38" w:rsidRPr="00B35439" w:rsidRDefault="00CD3F38" w:rsidP="0086348E">
      <w:pPr>
        <w:pStyle w:val="af3"/>
        <w:widowControl w:val="0"/>
        <w:numPr>
          <w:ilvl w:val="0"/>
          <w:numId w:val="45"/>
        </w:numPr>
        <w:shd w:val="clear" w:color="auto" w:fill="FFFFFF"/>
        <w:tabs>
          <w:tab w:val="left" w:pos="1134"/>
        </w:tabs>
        <w:ind w:left="0" w:firstLine="709"/>
        <w:rPr>
          <w:lang w:eastAsia="en-US"/>
        </w:rPr>
      </w:pPr>
      <w:r w:rsidRPr="00B35439">
        <w:rPr>
          <w:lang w:eastAsia="en-US"/>
        </w:rPr>
        <w:t>75 відсотків дебіторської заборгованості, з моменту виникнення якої минуло від 181 до 270 днів;</w:t>
      </w:r>
    </w:p>
    <w:p w14:paraId="664A4706" w14:textId="77777777" w:rsidR="00825CC3" w:rsidRPr="00B35439" w:rsidRDefault="00825CC3" w:rsidP="0086348E">
      <w:pPr>
        <w:widowControl w:val="0"/>
        <w:shd w:val="clear" w:color="auto" w:fill="FFFFFF"/>
        <w:tabs>
          <w:tab w:val="left" w:pos="1134"/>
        </w:tabs>
        <w:ind w:firstLine="709"/>
        <w:rPr>
          <w:lang w:eastAsia="en-US"/>
        </w:rPr>
      </w:pPr>
    </w:p>
    <w:p w14:paraId="1B3B99B3" w14:textId="6C387006" w:rsidR="00CD3F38" w:rsidRPr="00B35439" w:rsidRDefault="00CD3F38" w:rsidP="0086348E">
      <w:pPr>
        <w:pStyle w:val="af3"/>
        <w:widowControl w:val="0"/>
        <w:numPr>
          <w:ilvl w:val="0"/>
          <w:numId w:val="45"/>
        </w:numPr>
        <w:shd w:val="clear" w:color="auto" w:fill="FFFFFF"/>
        <w:tabs>
          <w:tab w:val="left" w:pos="1134"/>
        </w:tabs>
        <w:ind w:left="0" w:firstLine="709"/>
        <w:rPr>
          <w:lang w:eastAsia="en-US"/>
        </w:rPr>
      </w:pPr>
      <w:r w:rsidRPr="00B35439">
        <w:rPr>
          <w:lang w:eastAsia="en-US"/>
        </w:rPr>
        <w:t>50 відсотків дебіторської заборгованості, з моменту виникнення якої минуло від 271 до 365 днів;</w:t>
      </w:r>
    </w:p>
    <w:p w14:paraId="61956371" w14:textId="77777777" w:rsidR="00255905" w:rsidRPr="00B35439" w:rsidRDefault="00255905" w:rsidP="0086348E">
      <w:pPr>
        <w:widowControl w:val="0"/>
        <w:shd w:val="clear" w:color="auto" w:fill="FFFFFF"/>
        <w:tabs>
          <w:tab w:val="left" w:pos="1134"/>
        </w:tabs>
        <w:ind w:firstLine="709"/>
        <w:rPr>
          <w:lang w:eastAsia="en-US"/>
        </w:rPr>
      </w:pPr>
    </w:p>
    <w:p w14:paraId="58841AD4" w14:textId="5EB18E6C" w:rsidR="00CD3F38" w:rsidRPr="00B35439" w:rsidRDefault="00CD3F38" w:rsidP="0086348E">
      <w:pPr>
        <w:pStyle w:val="af3"/>
        <w:widowControl w:val="0"/>
        <w:numPr>
          <w:ilvl w:val="0"/>
          <w:numId w:val="45"/>
        </w:numPr>
        <w:shd w:val="clear" w:color="auto" w:fill="FFFFFF"/>
        <w:tabs>
          <w:tab w:val="left" w:pos="1134"/>
        </w:tabs>
        <w:ind w:left="0" w:firstLine="709"/>
        <w:rPr>
          <w:lang w:eastAsia="en-US"/>
        </w:rPr>
      </w:pPr>
      <w:r w:rsidRPr="00B35439">
        <w:rPr>
          <w:lang w:eastAsia="en-US"/>
        </w:rPr>
        <w:t>0 відсотків дебіторської заборгованості, з моменту виникнення якої минуло більше 365 днів.</w:t>
      </w:r>
    </w:p>
    <w:p w14:paraId="5F0616B3" w14:textId="77777777" w:rsidR="00CD3F38" w:rsidRPr="00B35439" w:rsidRDefault="00CD3F38" w:rsidP="00CD3F38">
      <w:pPr>
        <w:widowControl w:val="0"/>
        <w:shd w:val="clear" w:color="auto" w:fill="FFFFFF"/>
        <w:tabs>
          <w:tab w:val="left" w:pos="1134"/>
        </w:tabs>
        <w:ind w:firstLine="709"/>
        <w:contextualSpacing/>
        <w:rPr>
          <w:lang w:eastAsia="en-US"/>
        </w:rPr>
      </w:pPr>
      <w:bookmarkStart w:id="91" w:name="n282"/>
      <w:bookmarkStart w:id="92" w:name="n58"/>
      <w:bookmarkEnd w:id="91"/>
      <w:bookmarkEnd w:id="92"/>
    </w:p>
    <w:p w14:paraId="07A1A926" w14:textId="77777777" w:rsidR="00CD3F38" w:rsidRPr="00B35439" w:rsidRDefault="00CD3F38" w:rsidP="00CD3F38">
      <w:pPr>
        <w:widowControl w:val="0"/>
        <w:numPr>
          <w:ilvl w:val="0"/>
          <w:numId w:val="4"/>
        </w:numPr>
        <w:tabs>
          <w:tab w:val="left" w:pos="1134"/>
        </w:tabs>
        <w:ind w:left="0" w:firstLine="709"/>
        <w:outlineLvl w:val="1"/>
        <w:rPr>
          <w:rFonts w:eastAsiaTheme="majorEastAsia" w:cstheme="majorBidi"/>
          <w:szCs w:val="26"/>
        </w:rPr>
      </w:pPr>
      <w:bookmarkStart w:id="93" w:name="n59"/>
      <w:bookmarkStart w:id="94" w:name="n283"/>
      <w:bookmarkEnd w:id="93"/>
      <w:bookmarkEnd w:id="94"/>
      <w:r w:rsidRPr="00B35439">
        <w:rPr>
          <w:rFonts w:eastAsiaTheme="majorEastAsia" w:cstheme="majorBidi"/>
          <w:szCs w:val="26"/>
        </w:rPr>
        <w:t>Активи з права користування відповідно до міжнародного стандарту фінансової звітності 16 “Оренда” включаються до суми прийнятних активів у розмірі, що не перевищує розміру відповідного орендного зобов’язання.</w:t>
      </w:r>
    </w:p>
    <w:p w14:paraId="5FE2BB4B" w14:textId="77777777" w:rsidR="00CD3F38" w:rsidRPr="00B35439" w:rsidRDefault="00CD3F38" w:rsidP="00CD3F38">
      <w:pPr>
        <w:widowControl w:val="0"/>
        <w:shd w:val="clear" w:color="auto" w:fill="FFFFFF"/>
        <w:tabs>
          <w:tab w:val="left" w:pos="1134"/>
        </w:tabs>
        <w:ind w:firstLine="709"/>
        <w:contextualSpacing/>
        <w:rPr>
          <w:lang w:eastAsia="en-US"/>
        </w:rPr>
      </w:pPr>
      <w:bookmarkStart w:id="95" w:name="n284"/>
      <w:bookmarkStart w:id="96" w:name="n60"/>
      <w:bookmarkStart w:id="97" w:name="n61"/>
      <w:bookmarkStart w:id="98" w:name="n285"/>
      <w:bookmarkStart w:id="99" w:name="n62"/>
      <w:bookmarkStart w:id="100" w:name="n177"/>
      <w:bookmarkStart w:id="101" w:name="n63"/>
      <w:bookmarkStart w:id="102" w:name="n78"/>
      <w:bookmarkStart w:id="103" w:name="n84"/>
      <w:bookmarkStart w:id="104" w:name="n91"/>
      <w:bookmarkEnd w:id="95"/>
      <w:bookmarkEnd w:id="96"/>
      <w:bookmarkEnd w:id="97"/>
      <w:bookmarkEnd w:id="98"/>
      <w:bookmarkEnd w:id="99"/>
      <w:bookmarkEnd w:id="100"/>
      <w:bookmarkEnd w:id="101"/>
      <w:bookmarkEnd w:id="102"/>
      <w:bookmarkEnd w:id="103"/>
      <w:bookmarkEnd w:id="104"/>
    </w:p>
    <w:p w14:paraId="183817B2" w14:textId="77777777" w:rsidR="00CD3F38" w:rsidRPr="00B35439" w:rsidRDefault="00CD3F38" w:rsidP="00CD3F38">
      <w:pPr>
        <w:widowControl w:val="0"/>
        <w:numPr>
          <w:ilvl w:val="0"/>
          <w:numId w:val="4"/>
        </w:numPr>
        <w:tabs>
          <w:tab w:val="left" w:pos="1134"/>
        </w:tabs>
        <w:ind w:left="0" w:firstLine="709"/>
        <w:outlineLvl w:val="1"/>
        <w:rPr>
          <w:rFonts w:eastAsiaTheme="majorEastAsia" w:cstheme="majorBidi"/>
          <w:szCs w:val="26"/>
        </w:rPr>
      </w:pPr>
      <w:bookmarkStart w:id="105" w:name="n92"/>
      <w:bookmarkEnd w:id="105"/>
      <w:r w:rsidRPr="00B35439">
        <w:rPr>
          <w:rFonts w:eastAsiaTheme="majorEastAsia" w:cstheme="majorBidi"/>
          <w:szCs w:val="26"/>
        </w:rPr>
        <w:t>Сума прийнятних активів не включає:</w:t>
      </w:r>
    </w:p>
    <w:p w14:paraId="3AF1CD46" w14:textId="77777777" w:rsidR="00CD3F38" w:rsidRPr="00B35439" w:rsidRDefault="00CD3F38" w:rsidP="00CD3F38">
      <w:pPr>
        <w:widowControl w:val="0"/>
        <w:shd w:val="clear" w:color="auto" w:fill="FFFFFF"/>
        <w:tabs>
          <w:tab w:val="left" w:pos="1134"/>
        </w:tabs>
        <w:ind w:firstLine="709"/>
        <w:contextualSpacing/>
        <w:rPr>
          <w:lang w:eastAsia="en-US"/>
        </w:rPr>
      </w:pPr>
    </w:p>
    <w:p w14:paraId="695CC673" w14:textId="77777777" w:rsidR="00CD3F38" w:rsidRPr="00B35439" w:rsidRDefault="00CD3F38" w:rsidP="00CD3F38">
      <w:pPr>
        <w:widowControl w:val="0"/>
        <w:numPr>
          <w:ilvl w:val="0"/>
          <w:numId w:val="9"/>
        </w:numPr>
        <w:shd w:val="clear" w:color="auto" w:fill="FFFFFF"/>
        <w:tabs>
          <w:tab w:val="left" w:pos="1134"/>
        </w:tabs>
        <w:ind w:left="0" w:firstLine="709"/>
        <w:contextualSpacing/>
        <w:rPr>
          <w:lang w:eastAsia="en-US"/>
        </w:rPr>
      </w:pPr>
      <w:bookmarkStart w:id="106" w:name="n93"/>
      <w:bookmarkEnd w:id="106"/>
      <w:r w:rsidRPr="00B35439">
        <w:rPr>
          <w:lang w:eastAsia="en-US"/>
        </w:rPr>
        <w:t>активи, розміщені в банку, щодо якого прийнято рішення Національного банку про віднесення його до категорії неплатоспроможних;</w:t>
      </w:r>
    </w:p>
    <w:p w14:paraId="273629AF" w14:textId="77777777" w:rsidR="00CD3F38" w:rsidRPr="00B35439" w:rsidRDefault="00CD3F38" w:rsidP="00CD3F38">
      <w:pPr>
        <w:widowControl w:val="0"/>
        <w:shd w:val="clear" w:color="auto" w:fill="FFFFFF"/>
        <w:tabs>
          <w:tab w:val="left" w:pos="1134"/>
        </w:tabs>
        <w:ind w:firstLine="709"/>
        <w:rPr>
          <w:lang w:eastAsia="en-US"/>
        </w:rPr>
      </w:pPr>
    </w:p>
    <w:p w14:paraId="63E9D45F" w14:textId="77777777" w:rsidR="00CD3F38" w:rsidRPr="00B35439" w:rsidRDefault="00CD3F38" w:rsidP="00CD3F38">
      <w:pPr>
        <w:widowControl w:val="0"/>
        <w:numPr>
          <w:ilvl w:val="0"/>
          <w:numId w:val="9"/>
        </w:numPr>
        <w:shd w:val="clear" w:color="auto" w:fill="FFFFFF"/>
        <w:tabs>
          <w:tab w:val="left" w:pos="1134"/>
        </w:tabs>
        <w:ind w:left="0" w:firstLine="709"/>
        <w:contextualSpacing/>
        <w:rPr>
          <w:lang w:eastAsia="en-US"/>
        </w:rPr>
      </w:pPr>
      <w:bookmarkStart w:id="107" w:name="n94"/>
      <w:bookmarkEnd w:id="107"/>
      <w:r w:rsidRPr="00B35439">
        <w:rPr>
          <w:lang w:eastAsia="en-US"/>
        </w:rPr>
        <w:t>цінні папери:</w:t>
      </w:r>
    </w:p>
    <w:p w14:paraId="1C852A63" w14:textId="77777777" w:rsidR="00CD3F38" w:rsidRPr="00B35439" w:rsidRDefault="00CD3F38" w:rsidP="00CD3F38">
      <w:pPr>
        <w:widowControl w:val="0"/>
        <w:shd w:val="clear" w:color="auto" w:fill="FFFFFF"/>
        <w:tabs>
          <w:tab w:val="left" w:pos="1134"/>
        </w:tabs>
        <w:ind w:firstLine="709"/>
        <w:rPr>
          <w:lang w:eastAsia="en-US"/>
        </w:rPr>
      </w:pPr>
      <w:bookmarkStart w:id="108" w:name="n95"/>
      <w:bookmarkEnd w:id="108"/>
      <w:r w:rsidRPr="00B35439">
        <w:rPr>
          <w:lang w:eastAsia="en-US"/>
        </w:rPr>
        <w:t xml:space="preserve">обіг яких </w:t>
      </w:r>
      <w:proofErr w:type="spellStart"/>
      <w:r w:rsidRPr="00B35439">
        <w:rPr>
          <w:lang w:eastAsia="en-US"/>
        </w:rPr>
        <w:t>зупинено</w:t>
      </w:r>
      <w:proofErr w:type="spellEnd"/>
      <w:r w:rsidRPr="00B35439">
        <w:rPr>
          <w:lang w:eastAsia="en-US"/>
        </w:rPr>
        <w:t xml:space="preserve">, – з дати оприлюднення відповідної інформації на офіційному </w:t>
      </w:r>
      <w:proofErr w:type="spellStart"/>
      <w:r w:rsidRPr="00B35439">
        <w:rPr>
          <w:lang w:eastAsia="en-US"/>
        </w:rPr>
        <w:t>вебсайті</w:t>
      </w:r>
      <w:proofErr w:type="spellEnd"/>
      <w:r w:rsidRPr="00B35439">
        <w:rPr>
          <w:lang w:eastAsia="en-US"/>
        </w:rPr>
        <w:t xml:space="preserve"> Національної комісії з цінних паперів та фондового ринку, </w:t>
      </w:r>
      <w:proofErr w:type="spellStart"/>
      <w:r w:rsidRPr="00B35439">
        <w:rPr>
          <w:lang w:eastAsia="en-US"/>
        </w:rPr>
        <w:t>зупинено</w:t>
      </w:r>
      <w:proofErr w:type="spellEnd"/>
      <w:r w:rsidRPr="00B35439">
        <w:rPr>
          <w:lang w:eastAsia="en-US"/>
        </w:rPr>
        <w:t xml:space="preserve"> внесення змін до системи депозитарного обліку;</w:t>
      </w:r>
    </w:p>
    <w:p w14:paraId="3BB7E4B1" w14:textId="77777777" w:rsidR="00CD3F38" w:rsidRPr="00B35439" w:rsidRDefault="00CD3F38" w:rsidP="00CD3F38">
      <w:pPr>
        <w:widowControl w:val="0"/>
        <w:shd w:val="clear" w:color="auto" w:fill="FFFFFF"/>
        <w:tabs>
          <w:tab w:val="left" w:pos="1134"/>
        </w:tabs>
        <w:ind w:firstLine="709"/>
        <w:rPr>
          <w:lang w:eastAsia="en-US"/>
        </w:rPr>
      </w:pPr>
      <w:bookmarkStart w:id="109" w:name="n96"/>
      <w:bookmarkEnd w:id="109"/>
      <w:r w:rsidRPr="00B35439">
        <w:rPr>
          <w:lang w:eastAsia="en-US"/>
        </w:rPr>
        <w:t>емітента, стосовно якого відкрито провадження у справі про банкрутство;</w:t>
      </w:r>
    </w:p>
    <w:p w14:paraId="18CD3424" w14:textId="77777777" w:rsidR="00CD3F38" w:rsidRPr="00B35439" w:rsidRDefault="00CD3F38" w:rsidP="00CD3F38">
      <w:pPr>
        <w:widowControl w:val="0"/>
        <w:shd w:val="clear" w:color="auto" w:fill="FFFFFF"/>
        <w:tabs>
          <w:tab w:val="left" w:pos="1134"/>
        </w:tabs>
        <w:ind w:firstLine="709"/>
        <w:rPr>
          <w:lang w:eastAsia="en-US"/>
        </w:rPr>
      </w:pPr>
      <w:bookmarkStart w:id="110" w:name="n97"/>
      <w:bookmarkEnd w:id="110"/>
      <w:r w:rsidRPr="00B35439">
        <w:rPr>
          <w:lang w:eastAsia="en-US"/>
        </w:rPr>
        <w:t>емітента, щодо якого прийнято рішення про припинення шляхом ліквідації або визнання емітента банкрутом;</w:t>
      </w:r>
    </w:p>
    <w:p w14:paraId="13561AC1" w14:textId="77777777" w:rsidR="00CD3F38" w:rsidRPr="00B35439" w:rsidRDefault="00CD3F38" w:rsidP="00CD3F38">
      <w:pPr>
        <w:widowControl w:val="0"/>
        <w:shd w:val="clear" w:color="auto" w:fill="FFFFFF"/>
        <w:tabs>
          <w:tab w:val="left" w:pos="1134"/>
        </w:tabs>
        <w:ind w:firstLine="709"/>
        <w:rPr>
          <w:lang w:eastAsia="en-US"/>
        </w:rPr>
      </w:pPr>
      <w:bookmarkStart w:id="111" w:name="n98"/>
      <w:bookmarkEnd w:id="111"/>
      <w:r w:rsidRPr="00B35439">
        <w:rPr>
          <w:lang w:eastAsia="en-US"/>
        </w:rPr>
        <w:t>емітента, емісію цінних паперів якого визнано недійсною, скасовано реєстрацію випуску цінних паперів такого емітента;</w:t>
      </w:r>
    </w:p>
    <w:p w14:paraId="694D1123" w14:textId="77777777" w:rsidR="00CD3F38" w:rsidRPr="00B35439" w:rsidRDefault="00CD3F38" w:rsidP="00CD3F38">
      <w:pPr>
        <w:widowControl w:val="0"/>
        <w:shd w:val="clear" w:color="auto" w:fill="FFFFFF"/>
        <w:tabs>
          <w:tab w:val="left" w:pos="1134"/>
        </w:tabs>
        <w:ind w:firstLine="709"/>
        <w:rPr>
          <w:lang w:eastAsia="en-US"/>
        </w:rPr>
      </w:pPr>
      <w:bookmarkStart w:id="112" w:name="n99"/>
      <w:bookmarkEnd w:id="112"/>
      <w:r w:rsidRPr="00B35439">
        <w:rPr>
          <w:lang w:eastAsia="en-US"/>
        </w:rPr>
        <w:t xml:space="preserve">емітента, якого включено до списку емітентів, що мають ознаки фіктивності, оприлюдненого на офіційному </w:t>
      </w:r>
      <w:proofErr w:type="spellStart"/>
      <w:r w:rsidRPr="00B35439">
        <w:rPr>
          <w:lang w:eastAsia="en-US"/>
        </w:rPr>
        <w:t>вебсайті</w:t>
      </w:r>
      <w:proofErr w:type="spellEnd"/>
      <w:r w:rsidRPr="00B35439">
        <w:rPr>
          <w:lang w:eastAsia="en-US"/>
        </w:rPr>
        <w:t xml:space="preserve"> Національної комісії з цінних паперів та фондового ринку;</w:t>
      </w:r>
    </w:p>
    <w:p w14:paraId="4C97604E" w14:textId="77777777" w:rsidR="00CD3F38" w:rsidRPr="00B35439" w:rsidRDefault="00CD3F38" w:rsidP="00CD3F38">
      <w:pPr>
        <w:widowControl w:val="0"/>
        <w:shd w:val="clear" w:color="auto" w:fill="FFFFFF"/>
        <w:tabs>
          <w:tab w:val="left" w:pos="1134"/>
        </w:tabs>
        <w:ind w:firstLine="709"/>
        <w:rPr>
          <w:lang w:eastAsia="en-US"/>
        </w:rPr>
      </w:pPr>
      <w:bookmarkStart w:id="113" w:name="n100"/>
      <w:bookmarkEnd w:id="113"/>
      <w:r w:rsidRPr="00B35439">
        <w:rPr>
          <w:lang w:eastAsia="en-US"/>
        </w:rPr>
        <w:t>емітента, щодо якого в Єдиному державному реєстрі юридичних осіб, фізичних осіб-підприємців та громадських формувань немає відомостей про юридичну особу або є відомості про відсутність юридичної особи за її місцезнаходженням;</w:t>
      </w:r>
    </w:p>
    <w:p w14:paraId="66565C16" w14:textId="77777777" w:rsidR="00CD3F38" w:rsidRPr="00B35439" w:rsidRDefault="00CD3F38" w:rsidP="00CD3F38">
      <w:pPr>
        <w:widowControl w:val="0"/>
        <w:shd w:val="clear" w:color="auto" w:fill="FFFFFF"/>
        <w:tabs>
          <w:tab w:val="left" w:pos="1134"/>
        </w:tabs>
        <w:ind w:firstLine="709"/>
        <w:rPr>
          <w:lang w:eastAsia="en-US"/>
        </w:rPr>
      </w:pPr>
      <w:bookmarkStart w:id="114" w:name="n101"/>
      <w:bookmarkEnd w:id="114"/>
      <w:r w:rsidRPr="00B35439">
        <w:rPr>
          <w:lang w:eastAsia="en-US"/>
        </w:rPr>
        <w:t xml:space="preserve">емітента, щодо якого прийнято рішення про зупинення торгівлі на будь-якій біржі, – з дати оприлюднення відповідної інформації на офіційному </w:t>
      </w:r>
      <w:proofErr w:type="spellStart"/>
      <w:r w:rsidRPr="00B35439">
        <w:rPr>
          <w:lang w:eastAsia="en-US"/>
        </w:rPr>
        <w:t>вебсайті</w:t>
      </w:r>
      <w:proofErr w:type="spellEnd"/>
      <w:r w:rsidRPr="00B35439">
        <w:rPr>
          <w:lang w:eastAsia="en-US"/>
        </w:rPr>
        <w:t xml:space="preserve"> Національної комісії з цінних паперів та фондового ринку;</w:t>
      </w:r>
    </w:p>
    <w:p w14:paraId="1A17AA56" w14:textId="77777777" w:rsidR="00CD3F38" w:rsidRPr="00B35439" w:rsidRDefault="00CD3F38" w:rsidP="00CD3F38">
      <w:pPr>
        <w:widowControl w:val="0"/>
        <w:shd w:val="clear" w:color="auto" w:fill="FFFFFF"/>
        <w:tabs>
          <w:tab w:val="left" w:pos="1134"/>
        </w:tabs>
        <w:ind w:firstLine="709"/>
        <w:rPr>
          <w:lang w:eastAsia="en-US"/>
        </w:rPr>
      </w:pPr>
    </w:p>
    <w:p w14:paraId="18EE5FC4" w14:textId="77777777" w:rsidR="00CD3F38" w:rsidRPr="00B35439" w:rsidRDefault="00CD3F38" w:rsidP="00CD3F38">
      <w:pPr>
        <w:widowControl w:val="0"/>
        <w:numPr>
          <w:ilvl w:val="0"/>
          <w:numId w:val="9"/>
        </w:numPr>
        <w:shd w:val="clear" w:color="auto" w:fill="FFFFFF"/>
        <w:tabs>
          <w:tab w:val="left" w:pos="1134"/>
        </w:tabs>
        <w:ind w:left="0" w:firstLine="709"/>
        <w:contextualSpacing/>
        <w:rPr>
          <w:lang w:eastAsia="en-US"/>
        </w:rPr>
      </w:pPr>
      <w:bookmarkStart w:id="115" w:name="n102"/>
      <w:bookmarkEnd w:id="115"/>
      <w:r w:rsidRPr="00B35439">
        <w:rPr>
          <w:lang w:eastAsia="en-US"/>
        </w:rPr>
        <w:t xml:space="preserve">права вимоги до </w:t>
      </w:r>
      <w:proofErr w:type="spellStart"/>
      <w:r w:rsidRPr="00B35439">
        <w:rPr>
          <w:lang w:eastAsia="en-US"/>
        </w:rPr>
        <w:t>перестраховика</w:t>
      </w:r>
      <w:proofErr w:type="spellEnd"/>
      <w:r w:rsidRPr="00B35439">
        <w:rPr>
          <w:lang w:eastAsia="en-US"/>
        </w:rPr>
        <w:t xml:space="preserve">, дебіторську заборгованість за укладеними договорами вихідного перестрахування з </w:t>
      </w:r>
      <w:proofErr w:type="spellStart"/>
      <w:r w:rsidRPr="00B35439">
        <w:rPr>
          <w:lang w:eastAsia="en-US"/>
        </w:rPr>
        <w:t>перестраховиком</w:t>
      </w:r>
      <w:proofErr w:type="spellEnd"/>
      <w:r w:rsidRPr="00B35439">
        <w:rPr>
          <w:lang w:eastAsia="en-US"/>
        </w:rPr>
        <w:t>:</w:t>
      </w:r>
    </w:p>
    <w:p w14:paraId="0BDC905D" w14:textId="77777777" w:rsidR="00CD3F38" w:rsidRPr="00B35439" w:rsidRDefault="00CD3F38" w:rsidP="00CD3F38">
      <w:pPr>
        <w:widowControl w:val="0"/>
        <w:shd w:val="clear" w:color="auto" w:fill="FFFFFF"/>
        <w:tabs>
          <w:tab w:val="left" w:pos="709"/>
          <w:tab w:val="left" w:pos="1134"/>
        </w:tabs>
        <w:ind w:firstLine="709"/>
        <w:rPr>
          <w:lang w:eastAsia="en-US"/>
        </w:rPr>
      </w:pPr>
      <w:r w:rsidRPr="00B35439">
        <w:rPr>
          <w:lang w:eastAsia="en-US"/>
        </w:rPr>
        <w:t>резидентом, який за інформацією, розміщеною на сторінці офіційного Інтернет-представництва Національного банку, на дату розрахунку величини прийнятних активів відсутня або не має діючої ліцензії з відповідного виду страхування (тимчасове зупинення дії ліцензії, анулювання ліцензії, відкликання ліцензії, недійсна ліцензія);</w:t>
      </w:r>
    </w:p>
    <w:p w14:paraId="279AEF11" w14:textId="77777777" w:rsidR="00CD3F38" w:rsidRPr="00B35439" w:rsidRDefault="00CD3F38" w:rsidP="00CD3F38">
      <w:pPr>
        <w:widowControl w:val="0"/>
        <w:shd w:val="clear" w:color="auto" w:fill="FFFFFF"/>
        <w:tabs>
          <w:tab w:val="left" w:pos="709"/>
          <w:tab w:val="left" w:pos="1134"/>
        </w:tabs>
        <w:ind w:firstLine="709"/>
        <w:rPr>
          <w:lang w:eastAsia="en-US"/>
        </w:rPr>
      </w:pPr>
      <w:r w:rsidRPr="00B35439">
        <w:rPr>
          <w:lang w:eastAsia="en-US"/>
        </w:rPr>
        <w:t>нерезидентом, який на дату укладення відповідного договору перестрахування (дату останніх змін, внесених до такого договору перестрахування) не відповідав вимогам, встановленим законодавством України з питань регулювання діяльності небанківських фінансових установ щодо перестрахування у страховика (</w:t>
      </w:r>
      <w:proofErr w:type="spellStart"/>
      <w:r w:rsidRPr="00B35439">
        <w:rPr>
          <w:lang w:eastAsia="en-US"/>
        </w:rPr>
        <w:t>перестраховика</w:t>
      </w:r>
      <w:proofErr w:type="spellEnd"/>
      <w:r w:rsidRPr="00B35439">
        <w:rPr>
          <w:lang w:eastAsia="en-US"/>
        </w:rPr>
        <w:t>) нерезидента;</w:t>
      </w:r>
    </w:p>
    <w:p w14:paraId="7DD22A40" w14:textId="77777777" w:rsidR="00CD3F38" w:rsidRPr="00B35439" w:rsidRDefault="00CD3F38" w:rsidP="00CD3F38">
      <w:pPr>
        <w:widowControl w:val="0"/>
        <w:shd w:val="clear" w:color="auto" w:fill="FFFFFF"/>
        <w:tabs>
          <w:tab w:val="left" w:pos="709"/>
          <w:tab w:val="left" w:pos="1134"/>
        </w:tabs>
        <w:ind w:firstLine="709"/>
        <w:rPr>
          <w:lang w:eastAsia="en-US"/>
        </w:rPr>
      </w:pPr>
    </w:p>
    <w:p w14:paraId="02ABD99B" w14:textId="77777777" w:rsidR="00CD3F38" w:rsidRPr="00B35439" w:rsidRDefault="00CD3F38" w:rsidP="00CD3F38">
      <w:pPr>
        <w:widowControl w:val="0"/>
        <w:numPr>
          <w:ilvl w:val="0"/>
          <w:numId w:val="9"/>
        </w:numPr>
        <w:shd w:val="clear" w:color="auto" w:fill="FFFFFF"/>
        <w:tabs>
          <w:tab w:val="left" w:pos="1134"/>
        </w:tabs>
        <w:ind w:left="0" w:firstLine="709"/>
        <w:contextualSpacing/>
        <w:rPr>
          <w:lang w:eastAsia="en-US"/>
        </w:rPr>
      </w:pPr>
      <w:bookmarkStart w:id="116" w:name="n103"/>
      <w:bookmarkStart w:id="117" w:name="n104"/>
      <w:bookmarkEnd w:id="116"/>
      <w:bookmarkEnd w:id="117"/>
      <w:r w:rsidRPr="00B35439">
        <w:rPr>
          <w:lang w:eastAsia="en-US"/>
        </w:rPr>
        <w:t>активи, які зареєстровані та/або перебувають на тимчасово окупованій території України;</w:t>
      </w:r>
    </w:p>
    <w:p w14:paraId="15C7C8A2" w14:textId="77777777" w:rsidR="00CD3F38" w:rsidRPr="00B35439" w:rsidRDefault="00CD3F38" w:rsidP="00CD3F38">
      <w:pPr>
        <w:widowControl w:val="0"/>
        <w:shd w:val="clear" w:color="auto" w:fill="FFFFFF"/>
        <w:tabs>
          <w:tab w:val="left" w:pos="1134"/>
        </w:tabs>
        <w:ind w:firstLine="709"/>
        <w:rPr>
          <w:lang w:eastAsia="en-US"/>
        </w:rPr>
      </w:pPr>
    </w:p>
    <w:p w14:paraId="2C68A09C" w14:textId="77777777" w:rsidR="00CD3F38" w:rsidRPr="00B35439" w:rsidRDefault="00CD3F38" w:rsidP="00CD3F38">
      <w:pPr>
        <w:widowControl w:val="0"/>
        <w:numPr>
          <w:ilvl w:val="0"/>
          <w:numId w:val="9"/>
        </w:numPr>
        <w:shd w:val="clear" w:color="auto" w:fill="FFFFFF"/>
        <w:tabs>
          <w:tab w:val="left" w:pos="1134"/>
        </w:tabs>
        <w:ind w:left="0" w:firstLine="709"/>
        <w:contextualSpacing/>
        <w:rPr>
          <w:lang w:eastAsia="en-US"/>
        </w:rPr>
      </w:pPr>
      <w:bookmarkStart w:id="118" w:name="n105"/>
      <w:bookmarkEnd w:id="118"/>
      <w:r w:rsidRPr="00B35439">
        <w:rPr>
          <w:lang w:eastAsia="en-US"/>
        </w:rPr>
        <w:t xml:space="preserve">активи, які зареєстровані та/або перебувають на території населених пунктів, унесених до переліку населених пунктів, на території яких органи </w:t>
      </w:r>
      <w:r w:rsidRPr="00B35439">
        <w:rPr>
          <w:lang w:eastAsia="en-US"/>
        </w:rPr>
        <w:lastRenderedPageBreak/>
        <w:t>державної влади тимчасово не здійснюють свої повноваження, та переліку населених пунктів, що розташовані на лінії зіткнення;</w:t>
      </w:r>
    </w:p>
    <w:p w14:paraId="44E63C2A" w14:textId="77777777" w:rsidR="00CD3F38" w:rsidRPr="00B35439" w:rsidRDefault="00CD3F38" w:rsidP="00CD3F38">
      <w:pPr>
        <w:widowControl w:val="0"/>
        <w:tabs>
          <w:tab w:val="left" w:pos="1134"/>
        </w:tabs>
        <w:ind w:firstLine="709"/>
        <w:contextualSpacing/>
        <w:rPr>
          <w:lang w:eastAsia="en-US"/>
        </w:rPr>
      </w:pPr>
    </w:p>
    <w:p w14:paraId="4F9EF9A3" w14:textId="77777777" w:rsidR="00CD3F38" w:rsidRPr="00B35439" w:rsidRDefault="00CD3F38" w:rsidP="00CD3F38">
      <w:pPr>
        <w:widowControl w:val="0"/>
        <w:numPr>
          <w:ilvl w:val="0"/>
          <w:numId w:val="9"/>
        </w:numPr>
        <w:shd w:val="clear" w:color="auto" w:fill="FFFFFF"/>
        <w:tabs>
          <w:tab w:val="left" w:pos="1134"/>
        </w:tabs>
        <w:ind w:left="0" w:firstLine="709"/>
        <w:contextualSpacing/>
        <w:rPr>
          <w:lang w:eastAsia="en-US"/>
        </w:rPr>
      </w:pPr>
      <w:bookmarkStart w:id="119" w:name="n106"/>
      <w:bookmarkEnd w:id="119"/>
      <w:r w:rsidRPr="00B35439">
        <w:rPr>
          <w:lang w:eastAsia="en-US"/>
        </w:rPr>
        <w:t>права вимоги до фізичних осіб та юридичних осіб, до яких Радою національної безпеки і оборони України застосовано персональні спеціальні економічні та інші обмежувальні заходи (санкції), а також активи таких осіб;</w:t>
      </w:r>
    </w:p>
    <w:p w14:paraId="20DBCF03" w14:textId="77777777" w:rsidR="00CD3F38" w:rsidRPr="00B35439" w:rsidRDefault="00CD3F38" w:rsidP="00CD3F38">
      <w:pPr>
        <w:widowControl w:val="0"/>
        <w:shd w:val="clear" w:color="auto" w:fill="FFFFFF"/>
        <w:tabs>
          <w:tab w:val="left" w:pos="1134"/>
        </w:tabs>
        <w:ind w:firstLine="709"/>
        <w:contextualSpacing/>
        <w:rPr>
          <w:lang w:eastAsia="en-US"/>
        </w:rPr>
      </w:pPr>
    </w:p>
    <w:p w14:paraId="2BA1760A" w14:textId="77777777" w:rsidR="00CD3F38" w:rsidRPr="00B35439" w:rsidRDefault="00CD3F38" w:rsidP="00CD3F38">
      <w:pPr>
        <w:widowControl w:val="0"/>
        <w:numPr>
          <w:ilvl w:val="0"/>
          <w:numId w:val="9"/>
        </w:numPr>
        <w:shd w:val="clear" w:color="auto" w:fill="FFFFFF"/>
        <w:tabs>
          <w:tab w:val="left" w:pos="1134"/>
        </w:tabs>
        <w:ind w:left="0" w:firstLine="709"/>
        <w:contextualSpacing/>
        <w:rPr>
          <w:lang w:eastAsia="en-US"/>
        </w:rPr>
      </w:pPr>
      <w:bookmarkStart w:id="120" w:name="n107"/>
      <w:bookmarkEnd w:id="120"/>
      <w:r w:rsidRPr="00B35439">
        <w:rPr>
          <w:lang w:eastAsia="en-US"/>
        </w:rPr>
        <w:t>активи, щодо яких законом, актами уповноважених на це органів державної влади, їх посадових осіб або на підставі договору встановлено заборону розпоряджатися та/або користуватися (обтяження) або заборону відчуження, крім випадків, коли обмеження встановлено з метою виконання страхових зобов’язань страховика в розмірі не більше суми сформованих страхових резервів за відповідними видами страхування;</w:t>
      </w:r>
    </w:p>
    <w:p w14:paraId="6C3A3034" w14:textId="77777777" w:rsidR="00CD3F38" w:rsidRPr="00B35439" w:rsidRDefault="00CD3F38" w:rsidP="00CD3F38">
      <w:pPr>
        <w:widowControl w:val="0"/>
        <w:shd w:val="clear" w:color="auto" w:fill="FFFFFF"/>
        <w:tabs>
          <w:tab w:val="left" w:pos="1134"/>
        </w:tabs>
        <w:ind w:firstLine="709"/>
        <w:contextualSpacing/>
        <w:rPr>
          <w:lang w:eastAsia="en-US"/>
        </w:rPr>
      </w:pPr>
    </w:p>
    <w:p w14:paraId="0F581B2D" w14:textId="15947F61" w:rsidR="00CD3F38" w:rsidRPr="00B35439" w:rsidRDefault="00CD3F38" w:rsidP="00CD3F38">
      <w:pPr>
        <w:widowControl w:val="0"/>
        <w:numPr>
          <w:ilvl w:val="0"/>
          <w:numId w:val="9"/>
        </w:numPr>
        <w:shd w:val="clear" w:color="auto" w:fill="FFFFFF"/>
        <w:tabs>
          <w:tab w:val="left" w:pos="1134"/>
        </w:tabs>
        <w:ind w:left="0" w:firstLine="709"/>
        <w:contextualSpacing/>
        <w:rPr>
          <w:rFonts w:eastAsia="Calibri"/>
        </w:rPr>
      </w:pPr>
      <w:bookmarkStart w:id="121" w:name="n222"/>
      <w:bookmarkEnd w:id="121"/>
      <w:r w:rsidRPr="00B35439">
        <w:rPr>
          <w:lang w:eastAsia="en-US"/>
        </w:rPr>
        <w:t xml:space="preserve">активи, щодо вартості яких суб’єкт аудиторської діяльності, який відповідно до законодавства України має право проводити обов’язковий аудит фінансової звітності підприємств, що становлять суспільний інтерес, не зміг отримати достатні аудиторські докази (не зміг підтвердити вартість, за якою актив визнаний у балансі страховика) та/або отримав достатні аудиторські докази і дійшов висновку про викривлення вартості таких активів, про що зазначено в аудиторському звіті щодо проведення обов’язкового аудиту фінансової звітності (консолідованої фінансової звітності) та/або звіті щодо огляду проміжної фінансової інформації, та/або додатковому звіті суб’єкта аудиторської діяльності. Активи, зазначені в пункті </w:t>
      </w:r>
      <w:r w:rsidR="00597212" w:rsidRPr="00B35439">
        <w:rPr>
          <w:lang w:eastAsia="en-US"/>
        </w:rPr>
        <w:t>8</w:t>
      </w:r>
      <w:r w:rsidRPr="00B35439">
        <w:rPr>
          <w:lang w:eastAsia="en-US"/>
        </w:rPr>
        <w:t xml:space="preserve"> розділу ІІ цього Положення, будуть віднесені до прийнятних активів після підтвердження суб’єктом аудиторської діяльності, який відповідно до законодавства України має право проводити обов’язковий аудит фінансової звітності підприємств, що становлять суспільний інтерес, їх вартості відповідно до вимог міжнародних стандартів аудиту, – з дати такого підтвердження.</w:t>
      </w:r>
    </w:p>
    <w:p w14:paraId="4217508F" w14:textId="007E591B" w:rsidR="00CD3F38" w:rsidRPr="00B35439" w:rsidRDefault="00273642" w:rsidP="00CD3F38">
      <w:pPr>
        <w:widowControl w:val="0"/>
        <w:shd w:val="clear" w:color="auto" w:fill="FFFFFF"/>
        <w:tabs>
          <w:tab w:val="left" w:pos="1134"/>
        </w:tabs>
        <w:ind w:firstLine="709"/>
        <w:rPr>
          <w:lang w:eastAsia="en-US"/>
        </w:rPr>
      </w:pPr>
      <w:r w:rsidRPr="00B35439">
        <w:rPr>
          <w:lang w:eastAsia="en-US"/>
        </w:rPr>
        <w:t>А</w:t>
      </w:r>
      <w:r w:rsidR="00CD3F38" w:rsidRPr="00B35439">
        <w:rPr>
          <w:lang w:eastAsia="en-US"/>
        </w:rPr>
        <w:t>ктиви включаються до складу прийнятних активів за вартістю, скоригованою з урахуванням суми викривлення вартості таких активів, зазначеної в аудиторському звіті щодо проведення обов’язкового аудиту фінансової звітності (консолідованої фінансової звітності) та/або звіті щодо огляду проміжної фінансової інформації, та/або додатковому звіті суб’єкта аудиторської діяльності</w:t>
      </w:r>
      <w:r w:rsidRPr="00B35439">
        <w:rPr>
          <w:lang w:eastAsia="en-US"/>
        </w:rPr>
        <w:t>, якщо суб’єкт аудиторської діяльності, який відповідно до законодавства України має право проводити обов’язковий аудит фінансової звітності підприємств, що становлять суспільний інтерес, отримав достатні аудиторські докази і дійшов висновку про викривлення вартості таких активів</w:t>
      </w:r>
      <w:r w:rsidR="00CD3F38" w:rsidRPr="00B35439">
        <w:rPr>
          <w:lang w:eastAsia="en-US"/>
        </w:rPr>
        <w:t>.</w:t>
      </w:r>
    </w:p>
    <w:p w14:paraId="137A552B" w14:textId="0A2D1A48" w:rsidR="00CD3F38" w:rsidRPr="00B35439" w:rsidRDefault="00CD3F38" w:rsidP="00CD3F38">
      <w:pPr>
        <w:widowControl w:val="0"/>
        <w:shd w:val="clear" w:color="auto" w:fill="FFFFFF"/>
        <w:tabs>
          <w:tab w:val="left" w:pos="1134"/>
        </w:tabs>
        <w:ind w:firstLine="709"/>
        <w:rPr>
          <w:lang w:eastAsia="en-US"/>
        </w:rPr>
      </w:pPr>
      <w:r w:rsidRPr="00B35439" w:rsidDel="00D85B2F">
        <w:rPr>
          <w:lang w:eastAsia="en-US"/>
        </w:rPr>
        <w:t xml:space="preserve">Підтвердженням суб’єктом аудиторської діяльності, який відповідно до законодавства України має право проводити обов’язковий аудит фінансової звітності підприємств, що становлять суспільний інтерес, вартості відповідних прийнятних активів вважається підтвердження достовірності фінансової </w:t>
      </w:r>
      <w:r w:rsidRPr="00B35439" w:rsidDel="00D85B2F">
        <w:rPr>
          <w:lang w:eastAsia="en-US"/>
        </w:rPr>
        <w:lastRenderedPageBreak/>
        <w:t xml:space="preserve">звітності страховика в цілому або </w:t>
      </w:r>
      <w:r w:rsidR="00273642" w:rsidRPr="00B35439">
        <w:rPr>
          <w:lang w:eastAsia="en-US"/>
        </w:rPr>
        <w:t>відсутність застережень щодо вартості таких активів</w:t>
      </w:r>
      <w:r w:rsidR="00273642" w:rsidRPr="00B35439" w:rsidDel="00273642">
        <w:rPr>
          <w:lang w:eastAsia="en-US"/>
        </w:rPr>
        <w:t xml:space="preserve"> </w:t>
      </w:r>
      <w:r w:rsidRPr="00B35439" w:rsidDel="00D85B2F">
        <w:rPr>
          <w:lang w:eastAsia="en-US"/>
        </w:rPr>
        <w:t>за відповідний звітний період.</w:t>
      </w:r>
    </w:p>
    <w:p w14:paraId="57221694" w14:textId="7F55FBD8" w:rsidR="00CD3F38" w:rsidRPr="00B35439" w:rsidRDefault="00CD3F38" w:rsidP="00CD3F38">
      <w:pPr>
        <w:widowControl w:val="0"/>
        <w:shd w:val="clear" w:color="auto" w:fill="FFFFFF"/>
        <w:tabs>
          <w:tab w:val="left" w:pos="1134"/>
        </w:tabs>
        <w:ind w:firstLine="709"/>
        <w:rPr>
          <w:lang w:eastAsia="en-US"/>
        </w:rPr>
      </w:pPr>
      <w:r w:rsidRPr="00B35439">
        <w:rPr>
          <w:lang w:eastAsia="en-US"/>
        </w:rPr>
        <w:t xml:space="preserve">Нерухоме майно включається до складу прийнятних активів у період між річною звітною датою та датою підписання аудиторського звіту щодо проведення обов’язкового аудиту фінансової звітності (консолідованої фінансової звітності), якщо його вартість підтверджена суб’єктом аудиторської діяльності, який відповідно до законодавства України має право проводити обов’язковий аудит фінансової звітності підприємств, що становлять суспільний інтерес, відповідно до аудиторського звіту щодо проведення обов’язкового аудиту фінансової звітності (консолідованої фінансової звітності) за попередній звітний рік. Нерухоме майно, набуте у власність страховиком протягом поточного календарного року, та/або нерухоме майно, справедлива вартість якого збільшилася протягом поточного календарного року, включається до складу прийнятних активів за умови дотримання пункту </w:t>
      </w:r>
      <w:r w:rsidR="00597212" w:rsidRPr="00B35439">
        <w:rPr>
          <w:lang w:eastAsia="en-US"/>
        </w:rPr>
        <w:t>8</w:t>
      </w:r>
      <w:r w:rsidRPr="00B35439">
        <w:rPr>
          <w:lang w:eastAsia="en-US"/>
        </w:rPr>
        <w:t xml:space="preserve"> розділу ІІ цього Положення;</w:t>
      </w:r>
    </w:p>
    <w:p w14:paraId="51C9224D" w14:textId="77777777" w:rsidR="00CD3F38" w:rsidRPr="00B35439" w:rsidRDefault="00CD3F38" w:rsidP="00CD3F38">
      <w:pPr>
        <w:widowControl w:val="0"/>
        <w:shd w:val="clear" w:color="auto" w:fill="FFFFFF"/>
        <w:tabs>
          <w:tab w:val="left" w:pos="1134"/>
        </w:tabs>
        <w:ind w:firstLine="709"/>
        <w:rPr>
          <w:lang w:eastAsia="en-US"/>
        </w:rPr>
      </w:pPr>
    </w:p>
    <w:p w14:paraId="2C35CB73" w14:textId="77777777" w:rsidR="00CD3F38" w:rsidRPr="00B35439" w:rsidRDefault="00CD3F38" w:rsidP="00CD3F38">
      <w:pPr>
        <w:widowControl w:val="0"/>
        <w:numPr>
          <w:ilvl w:val="0"/>
          <w:numId w:val="9"/>
        </w:numPr>
        <w:shd w:val="clear" w:color="auto" w:fill="FFFFFF"/>
        <w:tabs>
          <w:tab w:val="left" w:pos="1134"/>
        </w:tabs>
        <w:ind w:left="0" w:firstLine="709"/>
        <w:contextualSpacing/>
        <w:rPr>
          <w:lang w:eastAsia="ru-RU"/>
        </w:rPr>
      </w:pPr>
      <w:r w:rsidRPr="00B35439">
        <w:rPr>
          <w:lang w:eastAsia="en-US"/>
        </w:rPr>
        <w:t>житлові будинки, а також їх окремі частини, квартири, житлові приміщення, а також земельні ділянки, на яких вони розташовані, – для страховика, що здійснює страхуванні інше, ніж страхування життя;</w:t>
      </w:r>
    </w:p>
    <w:p w14:paraId="26CACEB3" w14:textId="77777777" w:rsidR="00CD3F38" w:rsidRPr="00B35439" w:rsidRDefault="00CD3F38" w:rsidP="00CD3F38">
      <w:pPr>
        <w:widowControl w:val="0"/>
        <w:shd w:val="clear" w:color="auto" w:fill="FFFFFF"/>
        <w:tabs>
          <w:tab w:val="left" w:pos="1134"/>
        </w:tabs>
        <w:ind w:firstLine="709"/>
        <w:contextualSpacing/>
        <w:rPr>
          <w:lang w:eastAsia="ru-RU"/>
        </w:rPr>
      </w:pPr>
      <w:r w:rsidRPr="00B35439">
        <w:rPr>
          <w:lang w:eastAsia="ru-RU"/>
        </w:rPr>
        <w:t xml:space="preserve"> </w:t>
      </w:r>
    </w:p>
    <w:p w14:paraId="4D686D49" w14:textId="77777777" w:rsidR="00CD3F38" w:rsidRPr="00B35439" w:rsidRDefault="00CD3F38" w:rsidP="00CD3F38">
      <w:pPr>
        <w:widowControl w:val="0"/>
        <w:numPr>
          <w:ilvl w:val="0"/>
          <w:numId w:val="9"/>
        </w:numPr>
        <w:shd w:val="clear" w:color="auto" w:fill="FFFFFF"/>
        <w:tabs>
          <w:tab w:val="left" w:pos="1134"/>
        </w:tabs>
        <w:ind w:left="0" w:firstLine="709"/>
        <w:contextualSpacing/>
        <w:rPr>
          <w:lang w:eastAsia="ru-RU"/>
        </w:rPr>
      </w:pPr>
      <w:r w:rsidRPr="00B35439">
        <w:rPr>
          <w:lang w:eastAsia="ru-RU"/>
        </w:rPr>
        <w:t>внески страховика (володіння акціями, частками, паями) у капітал іншого страховика.</w:t>
      </w:r>
    </w:p>
    <w:p w14:paraId="3A357591" w14:textId="77777777" w:rsidR="00CD3F38" w:rsidRPr="00B35439" w:rsidRDefault="00CD3F38" w:rsidP="00CD3F38">
      <w:pPr>
        <w:widowControl w:val="0"/>
        <w:shd w:val="clear" w:color="auto" w:fill="FFFFFF"/>
        <w:tabs>
          <w:tab w:val="left" w:pos="1134"/>
        </w:tabs>
        <w:ind w:firstLine="709"/>
        <w:contextualSpacing/>
        <w:rPr>
          <w:lang w:eastAsia="ru-RU"/>
        </w:rPr>
      </w:pPr>
    </w:p>
    <w:p w14:paraId="2FEC12AB" w14:textId="77777777" w:rsidR="00CD3F38" w:rsidRPr="00B35439" w:rsidRDefault="00CD3F38" w:rsidP="00CD3F38">
      <w:pPr>
        <w:widowControl w:val="0"/>
        <w:numPr>
          <w:ilvl w:val="0"/>
          <w:numId w:val="4"/>
        </w:numPr>
        <w:tabs>
          <w:tab w:val="left" w:pos="1134"/>
        </w:tabs>
        <w:ind w:left="0" w:firstLine="709"/>
        <w:outlineLvl w:val="1"/>
        <w:rPr>
          <w:rFonts w:eastAsiaTheme="majorEastAsia" w:cstheme="majorBidi"/>
          <w:szCs w:val="26"/>
        </w:rPr>
      </w:pPr>
      <w:bookmarkStart w:id="122" w:name="n221"/>
      <w:bookmarkStart w:id="123" w:name="n108"/>
      <w:bookmarkStart w:id="124" w:name="n109"/>
      <w:bookmarkStart w:id="125" w:name="n288"/>
      <w:bookmarkStart w:id="126" w:name="n110"/>
      <w:bookmarkStart w:id="127" w:name="n111"/>
      <w:bookmarkStart w:id="128" w:name="n112"/>
      <w:bookmarkStart w:id="129" w:name="n113"/>
      <w:bookmarkStart w:id="130" w:name="n114"/>
      <w:bookmarkStart w:id="131" w:name="n115"/>
      <w:bookmarkStart w:id="132" w:name="n116"/>
      <w:bookmarkStart w:id="133" w:name="n117"/>
      <w:bookmarkStart w:id="134" w:name="n118"/>
      <w:bookmarkStart w:id="135" w:name="n119"/>
      <w:bookmarkStart w:id="136" w:name="n290"/>
      <w:bookmarkStart w:id="137" w:name="n291"/>
      <w:bookmarkStart w:id="138" w:name="n292"/>
      <w:bookmarkStart w:id="139" w:name="n293"/>
      <w:bookmarkStart w:id="140" w:name="n294"/>
      <w:bookmarkStart w:id="141" w:name="n295"/>
      <w:bookmarkStart w:id="142" w:name="n296"/>
      <w:bookmarkStart w:id="143" w:name="n297"/>
      <w:bookmarkStart w:id="144" w:name="n298"/>
      <w:bookmarkStart w:id="145" w:name="n299"/>
      <w:bookmarkStart w:id="146" w:name="n289"/>
      <w:bookmarkStart w:id="147" w:name="n124"/>
      <w:bookmarkStart w:id="148" w:name="n125"/>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sidRPr="00B35439">
        <w:rPr>
          <w:rFonts w:eastAsiaTheme="majorEastAsia"/>
          <w:lang w:eastAsia="en-US"/>
        </w:rPr>
        <w:t>Сума прийнятних активів, визначених у розділі ІІ цього Положення, включає активи страховика, розміщені:</w:t>
      </w:r>
      <w:r w:rsidRPr="00B35439">
        <w:rPr>
          <w:rFonts w:eastAsiaTheme="majorEastAsia" w:cstheme="majorBidi"/>
          <w:szCs w:val="26"/>
        </w:rPr>
        <w:t xml:space="preserve"> </w:t>
      </w:r>
    </w:p>
    <w:p w14:paraId="0E94FF8B" w14:textId="77777777" w:rsidR="00CD3F38" w:rsidRPr="00B35439" w:rsidRDefault="00CD3F38" w:rsidP="00CD3F38">
      <w:pPr>
        <w:tabs>
          <w:tab w:val="left" w:pos="1134"/>
        </w:tabs>
        <w:ind w:firstLine="709"/>
        <w:contextualSpacing/>
        <w:rPr>
          <w:rFonts w:eastAsiaTheme="majorEastAsia" w:cstheme="majorBidi"/>
          <w:szCs w:val="26"/>
        </w:rPr>
      </w:pPr>
    </w:p>
    <w:p w14:paraId="051C2DAC" w14:textId="77777777" w:rsidR="00CD3F38" w:rsidRPr="00B35439" w:rsidRDefault="00CD3F38" w:rsidP="00CD3F38">
      <w:pPr>
        <w:numPr>
          <w:ilvl w:val="0"/>
          <w:numId w:val="29"/>
        </w:numPr>
        <w:tabs>
          <w:tab w:val="left" w:pos="1134"/>
        </w:tabs>
        <w:ind w:left="0" w:firstLine="709"/>
        <w:contextualSpacing/>
        <w:rPr>
          <w:rFonts w:eastAsiaTheme="majorEastAsia" w:cstheme="majorBidi"/>
          <w:szCs w:val="26"/>
        </w:rPr>
      </w:pPr>
      <w:r w:rsidRPr="00B35439">
        <w:rPr>
          <w:rFonts w:eastAsiaTheme="majorEastAsia" w:cstheme="majorBidi"/>
          <w:szCs w:val="26"/>
        </w:rPr>
        <w:t>в одній особі</w:t>
      </w:r>
      <w:r w:rsidRPr="00B35439">
        <w:rPr>
          <w:rFonts w:eastAsiaTheme="majorEastAsia"/>
          <w:lang w:eastAsia="en-US"/>
        </w:rPr>
        <w:t>, у розмірі</w:t>
      </w:r>
      <w:r w:rsidRPr="00B35439">
        <w:rPr>
          <w:rFonts w:eastAsiaTheme="majorEastAsia" w:cstheme="majorBidi"/>
          <w:szCs w:val="26"/>
        </w:rPr>
        <w:t xml:space="preserve"> не більше: </w:t>
      </w:r>
    </w:p>
    <w:p w14:paraId="2510DF7A" w14:textId="3581FB2D" w:rsidR="00CD3F38" w:rsidRPr="00B35439" w:rsidRDefault="00CD3F38" w:rsidP="00CD3F38">
      <w:pPr>
        <w:widowControl w:val="0"/>
        <w:shd w:val="clear" w:color="auto" w:fill="FFFFFF"/>
        <w:tabs>
          <w:tab w:val="left" w:pos="1134"/>
        </w:tabs>
        <w:ind w:firstLine="709"/>
        <w:rPr>
          <w:rFonts w:eastAsiaTheme="majorEastAsia" w:cstheme="majorBidi"/>
          <w:szCs w:val="26"/>
        </w:rPr>
      </w:pPr>
      <w:r w:rsidRPr="00B35439">
        <w:rPr>
          <w:rFonts w:eastAsiaTheme="majorEastAsia"/>
          <w:lang w:eastAsia="en-US"/>
        </w:rPr>
        <w:t>30</w:t>
      </w:r>
      <w:r w:rsidRPr="00B35439">
        <w:rPr>
          <w:rFonts w:eastAsiaTheme="majorEastAsia" w:cstheme="majorBidi"/>
          <w:szCs w:val="26"/>
        </w:rPr>
        <w:t xml:space="preserve"> відсотків суми нормативу платоспроможності та достатності капіталу, що визначається відповідно до пункт</w:t>
      </w:r>
      <w:r w:rsidR="00E76B71" w:rsidRPr="00B35439">
        <w:rPr>
          <w:rFonts w:eastAsiaTheme="majorEastAsia" w:cstheme="majorBidi"/>
          <w:szCs w:val="26"/>
        </w:rPr>
        <w:t>ів</w:t>
      </w:r>
      <w:r w:rsidR="00EF08E5" w:rsidRPr="00B35439">
        <w:rPr>
          <w:rFonts w:eastAsiaTheme="majorEastAsia" w:cstheme="majorBidi"/>
          <w:szCs w:val="26"/>
        </w:rPr>
        <w:t xml:space="preserve"> </w:t>
      </w:r>
      <w:r w:rsidRPr="00B35439">
        <w:rPr>
          <w:rFonts w:eastAsiaTheme="majorEastAsia" w:cstheme="majorBidi"/>
          <w:szCs w:val="26"/>
        </w:rPr>
        <w:t>2</w:t>
      </w:r>
      <w:r w:rsidR="00597212" w:rsidRPr="00B35439">
        <w:rPr>
          <w:rFonts w:eastAsiaTheme="majorEastAsia" w:cstheme="majorBidi"/>
          <w:szCs w:val="26"/>
        </w:rPr>
        <w:t>1</w:t>
      </w:r>
      <w:r w:rsidRPr="00B35439">
        <w:rPr>
          <w:rFonts w:eastAsiaTheme="majorEastAsia" w:cstheme="majorBidi"/>
          <w:szCs w:val="26"/>
        </w:rPr>
        <w:t xml:space="preserve"> та 2</w:t>
      </w:r>
      <w:r w:rsidR="00597212" w:rsidRPr="00B35439">
        <w:rPr>
          <w:rFonts w:eastAsiaTheme="majorEastAsia" w:cstheme="majorBidi"/>
          <w:szCs w:val="26"/>
        </w:rPr>
        <w:t>2</w:t>
      </w:r>
      <w:r w:rsidRPr="00B35439">
        <w:rPr>
          <w:rFonts w:eastAsiaTheme="majorEastAsia" w:cstheme="majorBidi"/>
          <w:szCs w:val="26"/>
        </w:rPr>
        <w:t xml:space="preserve"> розділу ІІІ цього Положення, та загальної суми зобов’язань страховика – для прийнятних активів </w:t>
      </w:r>
      <w:r w:rsidRPr="00B35439">
        <w:rPr>
          <w:rFonts w:eastAsiaTheme="majorEastAsia"/>
          <w:lang w:eastAsia="en-US"/>
        </w:rPr>
        <w:t xml:space="preserve">за винятком активів, передбачених у пунктах </w:t>
      </w:r>
      <w:r w:rsidR="0047033C" w:rsidRPr="00B35439">
        <w:rPr>
          <w:rFonts w:eastAsiaTheme="majorEastAsia"/>
          <w:lang w:eastAsia="en-US"/>
        </w:rPr>
        <w:t>10</w:t>
      </w:r>
      <w:r w:rsidRPr="00B35439">
        <w:rPr>
          <w:rFonts w:eastAsiaTheme="majorEastAsia"/>
          <w:lang w:eastAsia="en-US"/>
        </w:rPr>
        <w:t xml:space="preserve"> та 1</w:t>
      </w:r>
      <w:r w:rsidR="0047033C" w:rsidRPr="00B35439">
        <w:rPr>
          <w:rFonts w:eastAsiaTheme="majorEastAsia"/>
          <w:lang w:eastAsia="en-US"/>
        </w:rPr>
        <w:t>4</w:t>
      </w:r>
      <w:r w:rsidRPr="00B35439">
        <w:rPr>
          <w:rFonts w:eastAsiaTheme="majorEastAsia"/>
          <w:lang w:eastAsia="en-US"/>
        </w:rPr>
        <w:t xml:space="preserve"> розділу ІІ цього Положення,</w:t>
      </w:r>
      <w:r w:rsidRPr="00B35439">
        <w:rPr>
          <w:rFonts w:eastAsiaTheme="majorEastAsia" w:cstheme="majorBidi"/>
          <w:szCs w:val="26"/>
        </w:rPr>
        <w:t xml:space="preserve"> та</w:t>
      </w:r>
    </w:p>
    <w:p w14:paraId="135A0372" w14:textId="2B863361" w:rsidR="00CD3F38" w:rsidRPr="00B35439" w:rsidRDefault="00CD3F38" w:rsidP="00CD3F38">
      <w:pPr>
        <w:widowControl w:val="0"/>
        <w:shd w:val="clear" w:color="auto" w:fill="FFFFFF"/>
        <w:tabs>
          <w:tab w:val="left" w:pos="1134"/>
        </w:tabs>
        <w:ind w:firstLine="709"/>
        <w:rPr>
          <w:lang w:eastAsia="en-US"/>
        </w:rPr>
      </w:pPr>
      <w:r w:rsidRPr="00B35439">
        <w:rPr>
          <w:lang w:eastAsia="en-US"/>
        </w:rPr>
        <w:t xml:space="preserve">10 відсотків </w:t>
      </w:r>
      <w:r w:rsidRPr="00B35439">
        <w:rPr>
          <w:rFonts w:eastAsiaTheme="majorEastAsia" w:cstheme="majorBidi"/>
          <w:szCs w:val="26"/>
        </w:rPr>
        <w:t>загальної суми нормативу платоспроможності та достатності капіталу, що визначається відповідно до пункт</w:t>
      </w:r>
      <w:r w:rsidR="00E76B71" w:rsidRPr="00B35439">
        <w:rPr>
          <w:rFonts w:eastAsiaTheme="majorEastAsia" w:cstheme="majorBidi"/>
          <w:szCs w:val="26"/>
        </w:rPr>
        <w:t>ів</w:t>
      </w:r>
      <w:r w:rsidR="00EF08E5" w:rsidRPr="00B35439">
        <w:rPr>
          <w:rFonts w:eastAsiaTheme="majorEastAsia" w:cstheme="majorBidi"/>
          <w:szCs w:val="26"/>
        </w:rPr>
        <w:t xml:space="preserve"> </w:t>
      </w:r>
      <w:r w:rsidRPr="00B35439">
        <w:rPr>
          <w:rFonts w:eastAsiaTheme="majorEastAsia" w:cstheme="majorBidi"/>
          <w:szCs w:val="26"/>
        </w:rPr>
        <w:t>2</w:t>
      </w:r>
      <w:r w:rsidR="0047033C" w:rsidRPr="00B35439">
        <w:rPr>
          <w:rFonts w:eastAsiaTheme="majorEastAsia" w:cstheme="majorBidi"/>
          <w:szCs w:val="26"/>
        </w:rPr>
        <w:t>1</w:t>
      </w:r>
      <w:r w:rsidRPr="00B35439">
        <w:rPr>
          <w:rFonts w:eastAsiaTheme="majorEastAsia" w:cstheme="majorBidi"/>
          <w:szCs w:val="26"/>
        </w:rPr>
        <w:t xml:space="preserve"> та 2</w:t>
      </w:r>
      <w:r w:rsidR="0047033C" w:rsidRPr="00B35439">
        <w:rPr>
          <w:rFonts w:eastAsiaTheme="majorEastAsia" w:cstheme="majorBidi"/>
          <w:szCs w:val="26"/>
        </w:rPr>
        <w:t>2</w:t>
      </w:r>
      <w:r w:rsidRPr="00B35439">
        <w:rPr>
          <w:rFonts w:eastAsiaTheme="majorEastAsia" w:cstheme="majorBidi"/>
          <w:szCs w:val="26"/>
        </w:rPr>
        <w:t xml:space="preserve"> розділу ІІІ цього Положення, та загальної суми зобов’язань страховика</w:t>
      </w:r>
      <w:r w:rsidRPr="00B35439">
        <w:rPr>
          <w:lang w:eastAsia="en-US"/>
        </w:rPr>
        <w:t xml:space="preserve"> – </w:t>
      </w:r>
      <w:r w:rsidRPr="00B35439">
        <w:rPr>
          <w:rFonts w:eastAsiaTheme="majorEastAsia" w:cstheme="majorBidi"/>
          <w:szCs w:val="26"/>
        </w:rPr>
        <w:t xml:space="preserve">для прийнятних активів </w:t>
      </w:r>
      <w:r w:rsidRPr="00B35439">
        <w:rPr>
          <w:lang w:eastAsia="en-US"/>
        </w:rPr>
        <w:t xml:space="preserve">за винятком активів, передбачених у пунктах 6, </w:t>
      </w:r>
      <w:r w:rsidR="0047033C" w:rsidRPr="00B35439">
        <w:rPr>
          <w:lang w:eastAsia="en-US"/>
        </w:rPr>
        <w:t>10</w:t>
      </w:r>
      <w:r w:rsidRPr="00B35439">
        <w:rPr>
          <w:lang w:eastAsia="en-US"/>
        </w:rPr>
        <w:t>, 1</w:t>
      </w:r>
      <w:r w:rsidR="0047033C" w:rsidRPr="00B35439">
        <w:rPr>
          <w:lang w:eastAsia="en-US"/>
        </w:rPr>
        <w:t>1</w:t>
      </w:r>
      <w:r w:rsidRPr="00B35439">
        <w:rPr>
          <w:lang w:eastAsia="en-US"/>
        </w:rPr>
        <w:t>, 1</w:t>
      </w:r>
      <w:r w:rsidR="0047033C" w:rsidRPr="00B35439">
        <w:rPr>
          <w:lang w:eastAsia="en-US"/>
        </w:rPr>
        <w:t>4</w:t>
      </w:r>
      <w:r w:rsidRPr="00B35439">
        <w:rPr>
          <w:lang w:eastAsia="en-US"/>
        </w:rPr>
        <w:t xml:space="preserve"> розділу ІІ цього Положення;</w:t>
      </w:r>
    </w:p>
    <w:p w14:paraId="7F42E1C2" w14:textId="77777777" w:rsidR="00CD3F38" w:rsidRPr="00B35439" w:rsidRDefault="00CD3F38" w:rsidP="00CD3F38">
      <w:pPr>
        <w:widowControl w:val="0"/>
        <w:shd w:val="clear" w:color="auto" w:fill="FFFFFF"/>
        <w:tabs>
          <w:tab w:val="left" w:pos="1134"/>
        </w:tabs>
        <w:ind w:firstLine="709"/>
        <w:rPr>
          <w:lang w:eastAsia="en-US"/>
        </w:rPr>
      </w:pPr>
    </w:p>
    <w:p w14:paraId="43DBDC44" w14:textId="751A2648" w:rsidR="00CD3F38" w:rsidRPr="00B35439" w:rsidRDefault="00CD3F38" w:rsidP="00CD3F38">
      <w:pPr>
        <w:numPr>
          <w:ilvl w:val="0"/>
          <w:numId w:val="29"/>
        </w:numPr>
        <w:tabs>
          <w:tab w:val="left" w:pos="1134"/>
        </w:tabs>
        <w:ind w:left="0" w:firstLine="709"/>
        <w:contextualSpacing/>
        <w:rPr>
          <w:lang w:eastAsia="en-US"/>
        </w:rPr>
      </w:pPr>
      <w:r w:rsidRPr="00B35439">
        <w:rPr>
          <w:lang w:eastAsia="en-US"/>
        </w:rPr>
        <w:t xml:space="preserve">в один об’єкт нерухомого майна у розмірі не більше 10 відсотків </w:t>
      </w:r>
      <w:r w:rsidRPr="00B35439">
        <w:rPr>
          <w:rFonts w:eastAsiaTheme="majorEastAsia" w:cstheme="majorBidi"/>
          <w:szCs w:val="26"/>
        </w:rPr>
        <w:t>суми нормативу платоспроможності та достатності капіталу, що визначається відповідно до пункт</w:t>
      </w:r>
      <w:r w:rsidR="00E76B71" w:rsidRPr="00B35439">
        <w:rPr>
          <w:rFonts w:eastAsiaTheme="majorEastAsia" w:cstheme="majorBidi"/>
          <w:szCs w:val="26"/>
        </w:rPr>
        <w:t>ів</w:t>
      </w:r>
      <w:r w:rsidRPr="00B35439">
        <w:rPr>
          <w:rFonts w:eastAsiaTheme="majorEastAsia" w:cstheme="majorBidi"/>
          <w:szCs w:val="26"/>
        </w:rPr>
        <w:t xml:space="preserve"> 2</w:t>
      </w:r>
      <w:r w:rsidR="0047033C" w:rsidRPr="00B35439">
        <w:rPr>
          <w:rFonts w:eastAsiaTheme="majorEastAsia" w:cstheme="majorBidi"/>
          <w:szCs w:val="26"/>
        </w:rPr>
        <w:t>1</w:t>
      </w:r>
      <w:r w:rsidRPr="00B35439">
        <w:rPr>
          <w:rFonts w:eastAsiaTheme="majorEastAsia" w:cstheme="majorBidi"/>
          <w:szCs w:val="26"/>
        </w:rPr>
        <w:t xml:space="preserve"> та 2</w:t>
      </w:r>
      <w:r w:rsidR="0047033C" w:rsidRPr="00B35439">
        <w:rPr>
          <w:rFonts w:eastAsiaTheme="majorEastAsia" w:cstheme="majorBidi"/>
          <w:szCs w:val="26"/>
        </w:rPr>
        <w:t>2</w:t>
      </w:r>
      <w:r w:rsidRPr="00B35439">
        <w:rPr>
          <w:rFonts w:eastAsiaTheme="majorEastAsia" w:cstheme="majorBidi"/>
          <w:szCs w:val="26"/>
        </w:rPr>
        <w:t xml:space="preserve"> розділу ІІІ цього Положення, та загальної суми зобов’язань страховика</w:t>
      </w:r>
      <w:r w:rsidRPr="00B35439">
        <w:rPr>
          <w:lang w:eastAsia="en-US"/>
        </w:rPr>
        <w:t xml:space="preserve">. </w:t>
      </w:r>
    </w:p>
    <w:p w14:paraId="649E023B" w14:textId="138A7C2C" w:rsidR="00CD3F38" w:rsidRPr="00B35439" w:rsidRDefault="00CD3F38" w:rsidP="00CD3F38">
      <w:pPr>
        <w:widowControl w:val="0"/>
        <w:shd w:val="clear" w:color="auto" w:fill="FFFFFF"/>
        <w:tabs>
          <w:tab w:val="left" w:pos="1134"/>
        </w:tabs>
        <w:ind w:firstLine="709"/>
        <w:rPr>
          <w:lang w:eastAsia="en-US"/>
        </w:rPr>
      </w:pPr>
      <w:r w:rsidRPr="00B35439">
        <w:rPr>
          <w:lang w:eastAsia="en-US"/>
        </w:rPr>
        <w:t xml:space="preserve">Земельна ділянка разом з нерухомим майном, розташованим (розміщеним) </w:t>
      </w:r>
      <w:r w:rsidRPr="00B35439">
        <w:rPr>
          <w:lang w:eastAsia="en-US"/>
        </w:rPr>
        <w:lastRenderedPageBreak/>
        <w:t xml:space="preserve">на ній, що відповідають вимогам цього Положення, вважаються одним об’єктом нерухомого майна. Земельні ділянки, що відповідають вимогам цього Положення та мають між собою спільні межі, вважаються одним об’єктом нерухомого майна </w:t>
      </w:r>
      <w:r w:rsidR="00E76B71" w:rsidRPr="00B35439">
        <w:rPr>
          <w:lang w:eastAsia="en-US"/>
        </w:rPr>
        <w:t>[</w:t>
      </w:r>
      <w:r w:rsidRPr="00B35439">
        <w:rPr>
          <w:lang w:eastAsia="en-US"/>
        </w:rPr>
        <w:t>разом з нерухомим майном, розташованим (розміщеним) на них</w:t>
      </w:r>
      <w:r w:rsidR="00E76B71" w:rsidRPr="00B35439">
        <w:rPr>
          <w:lang w:eastAsia="en-US"/>
        </w:rPr>
        <w:t>]</w:t>
      </w:r>
      <w:r w:rsidRPr="00B35439">
        <w:rPr>
          <w:lang w:eastAsia="en-US"/>
        </w:rPr>
        <w:t>.</w:t>
      </w:r>
    </w:p>
    <w:p w14:paraId="1CC86FFF" w14:textId="77777777" w:rsidR="00CD3F38" w:rsidRPr="00B35439" w:rsidRDefault="00CD3F38" w:rsidP="00CD3F38">
      <w:pPr>
        <w:widowControl w:val="0"/>
        <w:shd w:val="clear" w:color="auto" w:fill="FFFFFF"/>
        <w:tabs>
          <w:tab w:val="left" w:pos="1134"/>
        </w:tabs>
        <w:ind w:firstLine="709"/>
        <w:rPr>
          <w:lang w:eastAsia="en-US"/>
        </w:rPr>
      </w:pPr>
    </w:p>
    <w:p w14:paraId="507D45F4" w14:textId="77777777" w:rsidR="00CD3F38" w:rsidRPr="00B35439" w:rsidRDefault="00CD3F38" w:rsidP="00CD3F38">
      <w:pPr>
        <w:widowControl w:val="0"/>
        <w:numPr>
          <w:ilvl w:val="0"/>
          <w:numId w:val="4"/>
        </w:numPr>
        <w:tabs>
          <w:tab w:val="left" w:pos="1134"/>
        </w:tabs>
        <w:ind w:left="0" w:firstLine="709"/>
        <w:outlineLvl w:val="1"/>
        <w:rPr>
          <w:rFonts w:eastAsiaTheme="majorEastAsia" w:cstheme="majorBidi"/>
          <w:szCs w:val="26"/>
        </w:rPr>
      </w:pPr>
      <w:r w:rsidRPr="00B35439">
        <w:rPr>
          <w:rFonts w:eastAsiaTheme="majorEastAsia"/>
          <w:lang w:eastAsia="en-US"/>
        </w:rPr>
        <w:t xml:space="preserve">Сума прийнятних активів страховика, визначених у розділі ІІ цього Положення (за винятком прав вимоги до </w:t>
      </w:r>
      <w:proofErr w:type="spellStart"/>
      <w:r w:rsidRPr="00B35439">
        <w:rPr>
          <w:rFonts w:eastAsiaTheme="majorEastAsia"/>
          <w:lang w:eastAsia="en-US"/>
        </w:rPr>
        <w:t>перестраховиків</w:t>
      </w:r>
      <w:proofErr w:type="spellEnd"/>
      <w:r w:rsidRPr="00B35439">
        <w:rPr>
          <w:rFonts w:eastAsiaTheme="majorEastAsia"/>
          <w:lang w:eastAsia="en-US"/>
        </w:rPr>
        <w:t>), включає активи страховика, розміщені</w:t>
      </w:r>
      <w:r w:rsidRPr="00B35439">
        <w:rPr>
          <w:rFonts w:eastAsiaTheme="majorEastAsia" w:cstheme="majorBidi"/>
          <w:szCs w:val="26"/>
        </w:rPr>
        <w:t xml:space="preserve"> в </w:t>
      </w:r>
      <w:r w:rsidRPr="00B35439">
        <w:rPr>
          <w:rFonts w:eastAsiaTheme="majorEastAsia"/>
          <w:lang w:eastAsia="en-US"/>
        </w:rPr>
        <w:t>пов’язаних із страховиком особах, у розмірі</w:t>
      </w:r>
      <w:r w:rsidRPr="00B35439">
        <w:rPr>
          <w:rFonts w:eastAsiaTheme="majorEastAsia" w:cstheme="majorBidi"/>
          <w:szCs w:val="26"/>
        </w:rPr>
        <w:t xml:space="preserve"> не більше </w:t>
      </w:r>
      <w:r w:rsidRPr="00B35439">
        <w:rPr>
          <w:rFonts w:eastAsiaTheme="majorEastAsia"/>
          <w:lang w:eastAsia="en-US"/>
        </w:rPr>
        <w:t>10</w:t>
      </w:r>
      <w:r w:rsidRPr="00B35439">
        <w:rPr>
          <w:rFonts w:eastAsiaTheme="majorEastAsia" w:cstheme="majorBidi"/>
          <w:szCs w:val="26"/>
        </w:rPr>
        <w:t xml:space="preserve"> відсотків загальної суми власного капіталу та зобов’язань страховика.</w:t>
      </w:r>
    </w:p>
    <w:p w14:paraId="70F183F2" w14:textId="77777777" w:rsidR="00CD3F38" w:rsidRPr="00B35439" w:rsidRDefault="00CD3F38" w:rsidP="00CD3F38">
      <w:pPr>
        <w:widowControl w:val="0"/>
        <w:shd w:val="clear" w:color="auto" w:fill="FFFFFF"/>
        <w:tabs>
          <w:tab w:val="left" w:pos="1134"/>
        </w:tabs>
        <w:ind w:firstLine="709"/>
        <w:contextualSpacing/>
        <w:rPr>
          <w:lang w:eastAsia="en-US"/>
        </w:rPr>
      </w:pPr>
    </w:p>
    <w:p w14:paraId="7C5FC0BD" w14:textId="42CA4E65" w:rsidR="00CD3F38" w:rsidRPr="00B35439" w:rsidRDefault="00CD3F38" w:rsidP="00CD3F38">
      <w:pPr>
        <w:widowControl w:val="0"/>
        <w:numPr>
          <w:ilvl w:val="0"/>
          <w:numId w:val="3"/>
        </w:numPr>
        <w:shd w:val="clear" w:color="auto" w:fill="FFFFFF"/>
        <w:tabs>
          <w:tab w:val="left" w:pos="1134"/>
          <w:tab w:val="left" w:pos="1276"/>
        </w:tabs>
        <w:ind w:left="0" w:firstLine="709"/>
        <w:contextualSpacing/>
        <w:jc w:val="center"/>
        <w:outlineLvl w:val="0"/>
        <w:rPr>
          <w:lang w:eastAsia="en-US"/>
        </w:rPr>
      </w:pPr>
      <w:bookmarkStart w:id="149" w:name="n300"/>
      <w:bookmarkStart w:id="150" w:name="n126"/>
      <w:bookmarkEnd w:id="149"/>
      <w:bookmarkEnd w:id="150"/>
      <w:r w:rsidRPr="00B35439">
        <w:rPr>
          <w:bCs/>
          <w:lang w:eastAsia="en-US"/>
        </w:rPr>
        <w:t>Норматив платоспроможності та достатності капіталу</w:t>
      </w:r>
    </w:p>
    <w:p w14:paraId="00720D2C" w14:textId="77777777" w:rsidR="00CD3F38" w:rsidRPr="00B35439" w:rsidRDefault="00CD3F38" w:rsidP="00CD3F38">
      <w:pPr>
        <w:widowControl w:val="0"/>
        <w:shd w:val="clear" w:color="auto" w:fill="FFFFFF"/>
        <w:tabs>
          <w:tab w:val="left" w:pos="1134"/>
        </w:tabs>
        <w:ind w:firstLine="709"/>
        <w:rPr>
          <w:lang w:eastAsia="en-US"/>
        </w:rPr>
      </w:pPr>
    </w:p>
    <w:p w14:paraId="327003DD" w14:textId="77777777" w:rsidR="00CD3F38" w:rsidRPr="00B35439" w:rsidRDefault="00CD3F38" w:rsidP="00CD3F38">
      <w:pPr>
        <w:widowControl w:val="0"/>
        <w:numPr>
          <w:ilvl w:val="0"/>
          <w:numId w:val="4"/>
        </w:numPr>
        <w:tabs>
          <w:tab w:val="left" w:pos="1134"/>
        </w:tabs>
        <w:ind w:left="0" w:firstLine="709"/>
        <w:outlineLvl w:val="1"/>
        <w:rPr>
          <w:rFonts w:eastAsiaTheme="majorEastAsia"/>
          <w:lang w:eastAsia="en-US"/>
        </w:rPr>
      </w:pPr>
      <w:bookmarkStart w:id="151" w:name="n127"/>
      <w:bookmarkEnd w:id="151"/>
      <w:r w:rsidRPr="00B35439">
        <w:rPr>
          <w:rFonts w:eastAsiaTheme="majorEastAsia"/>
          <w:lang w:eastAsia="en-US"/>
        </w:rPr>
        <w:t>Норматив платоспроможності та достатності капіталу для страховика, який здійснює або планує здійснювати страхування життя, установлюється як більша з таких величин:</w:t>
      </w:r>
    </w:p>
    <w:p w14:paraId="0E50F594" w14:textId="77777777" w:rsidR="00CD3F38" w:rsidRPr="00B35439" w:rsidRDefault="00CD3F38" w:rsidP="00CD3F38">
      <w:pPr>
        <w:widowControl w:val="0"/>
        <w:shd w:val="clear" w:color="auto" w:fill="FFFFFF"/>
        <w:tabs>
          <w:tab w:val="left" w:pos="1134"/>
        </w:tabs>
        <w:ind w:firstLine="709"/>
        <w:contextualSpacing/>
        <w:rPr>
          <w:lang w:eastAsia="en-US"/>
        </w:rPr>
      </w:pPr>
    </w:p>
    <w:p w14:paraId="52E9E7E6" w14:textId="77777777" w:rsidR="00CD3F38" w:rsidRPr="00B35439" w:rsidRDefault="00CD3F38" w:rsidP="00CD3F38">
      <w:pPr>
        <w:widowControl w:val="0"/>
        <w:numPr>
          <w:ilvl w:val="0"/>
          <w:numId w:val="13"/>
        </w:numPr>
        <w:tabs>
          <w:tab w:val="left" w:pos="1134"/>
        </w:tabs>
        <w:ind w:left="0" w:firstLine="709"/>
        <w:contextualSpacing/>
        <w:rPr>
          <w:lang w:eastAsia="en-US"/>
        </w:rPr>
      </w:pPr>
      <w:bookmarkStart w:id="152" w:name="n128"/>
      <w:bookmarkStart w:id="153" w:name="n129"/>
      <w:bookmarkStart w:id="154" w:name="n130"/>
      <w:bookmarkEnd w:id="152"/>
      <w:bookmarkEnd w:id="153"/>
      <w:bookmarkEnd w:id="154"/>
      <w:r w:rsidRPr="00B35439">
        <w:rPr>
          <w:lang w:eastAsia="en-US"/>
        </w:rPr>
        <w:t>48 млн грн;</w:t>
      </w:r>
    </w:p>
    <w:p w14:paraId="72723C6E" w14:textId="77777777" w:rsidR="00CD3F38" w:rsidRPr="00B35439" w:rsidRDefault="00CD3F38" w:rsidP="00CD3F38">
      <w:pPr>
        <w:widowControl w:val="0"/>
        <w:tabs>
          <w:tab w:val="left" w:pos="1134"/>
        </w:tabs>
        <w:ind w:firstLine="709"/>
        <w:contextualSpacing/>
        <w:rPr>
          <w:lang w:eastAsia="en-US"/>
        </w:rPr>
      </w:pPr>
    </w:p>
    <w:p w14:paraId="23853043" w14:textId="190749C1" w:rsidR="00CD3F38" w:rsidRPr="00B35439" w:rsidRDefault="00CD3F38" w:rsidP="00CD3F38">
      <w:pPr>
        <w:widowControl w:val="0"/>
        <w:numPr>
          <w:ilvl w:val="0"/>
          <w:numId w:val="13"/>
        </w:numPr>
        <w:tabs>
          <w:tab w:val="left" w:pos="1134"/>
        </w:tabs>
        <w:ind w:left="0" w:firstLine="709"/>
        <w:contextualSpacing/>
        <w:rPr>
          <w:lang w:eastAsia="en-US"/>
        </w:rPr>
      </w:pPr>
      <w:r w:rsidRPr="00B35439">
        <w:rPr>
          <w:lang w:eastAsia="en-US"/>
        </w:rPr>
        <w:t xml:space="preserve">нормативний запас платоспроможності, який визначається </w:t>
      </w:r>
      <w:r w:rsidR="00913400" w:rsidRPr="00B35439">
        <w:rPr>
          <w:lang w:eastAsia="en-US"/>
        </w:rPr>
        <w:t>згідно з</w:t>
      </w:r>
      <w:r w:rsidRPr="00B35439">
        <w:rPr>
          <w:lang w:eastAsia="en-US"/>
        </w:rPr>
        <w:t xml:space="preserve"> </w:t>
      </w:r>
      <w:r w:rsidR="006E5313" w:rsidRPr="00B35439">
        <w:rPr>
          <w:lang w:eastAsia="en-US"/>
        </w:rPr>
        <w:t xml:space="preserve">порядком визначення нормативного запасу платоспроможності </w:t>
      </w:r>
      <w:r w:rsidR="006E5313" w:rsidRPr="00B35439">
        <w:rPr>
          <w:rFonts w:eastAsiaTheme="majorEastAsia"/>
          <w:lang w:eastAsia="en-US"/>
        </w:rPr>
        <w:t>для страховика, який здійснює або планує здійснювати страхування життя, встановленим у</w:t>
      </w:r>
      <w:r w:rsidR="006E5313" w:rsidRPr="00B35439">
        <w:rPr>
          <w:lang w:eastAsia="en-US"/>
        </w:rPr>
        <w:t xml:space="preserve"> </w:t>
      </w:r>
      <w:r w:rsidRPr="00B35439">
        <w:rPr>
          <w:lang w:eastAsia="en-US"/>
        </w:rPr>
        <w:t>додатк</w:t>
      </w:r>
      <w:r w:rsidR="006E5313" w:rsidRPr="00B35439">
        <w:rPr>
          <w:lang w:eastAsia="en-US"/>
        </w:rPr>
        <w:t>у</w:t>
      </w:r>
      <w:r w:rsidRPr="00B35439">
        <w:rPr>
          <w:lang w:eastAsia="en-US"/>
        </w:rPr>
        <w:t xml:space="preserve"> </w:t>
      </w:r>
      <w:r w:rsidR="007C4D38" w:rsidRPr="00B35439">
        <w:rPr>
          <w:lang w:eastAsia="en-US"/>
        </w:rPr>
        <w:t xml:space="preserve">1 </w:t>
      </w:r>
      <w:r w:rsidRPr="00B35439">
        <w:rPr>
          <w:lang w:eastAsia="en-US"/>
        </w:rPr>
        <w:t>до цього Положення.</w:t>
      </w:r>
    </w:p>
    <w:p w14:paraId="47994E2F" w14:textId="77777777" w:rsidR="00CD3F38" w:rsidRPr="00B35439" w:rsidRDefault="00CD3F38" w:rsidP="00CD3F38">
      <w:pPr>
        <w:widowControl w:val="0"/>
        <w:tabs>
          <w:tab w:val="left" w:pos="980"/>
          <w:tab w:val="left" w:pos="1134"/>
          <w:tab w:val="left" w:pos="2817"/>
          <w:tab w:val="left" w:pos="3210"/>
        </w:tabs>
        <w:ind w:firstLine="709"/>
        <w:rPr>
          <w:lang w:eastAsia="en-US"/>
        </w:rPr>
      </w:pPr>
    </w:p>
    <w:p w14:paraId="5F5944BA" w14:textId="77777777" w:rsidR="00CD3F38" w:rsidRPr="00B35439" w:rsidRDefault="00CD3F38" w:rsidP="00CD3F38">
      <w:pPr>
        <w:widowControl w:val="0"/>
        <w:numPr>
          <w:ilvl w:val="0"/>
          <w:numId w:val="4"/>
        </w:numPr>
        <w:tabs>
          <w:tab w:val="left" w:pos="1134"/>
        </w:tabs>
        <w:ind w:left="0" w:firstLine="709"/>
        <w:outlineLvl w:val="1"/>
        <w:rPr>
          <w:rFonts w:eastAsiaTheme="majorEastAsia"/>
          <w:lang w:eastAsia="en-US"/>
        </w:rPr>
      </w:pPr>
      <w:bookmarkStart w:id="155" w:name="n131"/>
      <w:bookmarkEnd w:id="155"/>
      <w:r w:rsidRPr="00B35439">
        <w:rPr>
          <w:rFonts w:eastAsiaTheme="majorEastAsia"/>
          <w:lang w:eastAsia="en-US"/>
        </w:rPr>
        <w:t>Норматив платоспроможності та достатності капіталу</w:t>
      </w:r>
      <w:r w:rsidRPr="00B35439" w:rsidDel="00CD198E">
        <w:rPr>
          <w:rFonts w:eastAsiaTheme="majorEastAsia"/>
          <w:lang w:eastAsia="en-US"/>
        </w:rPr>
        <w:t xml:space="preserve"> </w:t>
      </w:r>
      <w:r w:rsidRPr="00B35439">
        <w:rPr>
          <w:rFonts w:eastAsiaTheme="majorEastAsia"/>
          <w:lang w:eastAsia="en-US"/>
        </w:rPr>
        <w:t>для страховика, який здійснює або планує здійснювати страхування інше, ніж страхування життя, установлюється як більша з таких величин:</w:t>
      </w:r>
    </w:p>
    <w:p w14:paraId="7EAE83BC" w14:textId="77777777" w:rsidR="00CD3F38" w:rsidRPr="00B35439" w:rsidRDefault="00CD3F38" w:rsidP="00CD3F38">
      <w:pPr>
        <w:widowControl w:val="0"/>
        <w:tabs>
          <w:tab w:val="left" w:pos="1134"/>
        </w:tabs>
        <w:ind w:firstLine="709"/>
        <w:rPr>
          <w:lang w:eastAsia="en-US"/>
        </w:rPr>
      </w:pPr>
    </w:p>
    <w:p w14:paraId="0800C048" w14:textId="77777777" w:rsidR="00CD3F38" w:rsidRPr="00B35439" w:rsidRDefault="00CD3F38" w:rsidP="00CD3F38">
      <w:pPr>
        <w:widowControl w:val="0"/>
        <w:numPr>
          <w:ilvl w:val="0"/>
          <w:numId w:val="18"/>
        </w:numPr>
        <w:tabs>
          <w:tab w:val="left" w:pos="1134"/>
        </w:tabs>
        <w:ind w:left="0" w:firstLine="709"/>
        <w:contextualSpacing/>
        <w:rPr>
          <w:lang w:eastAsia="en-US"/>
        </w:rPr>
      </w:pPr>
      <w:r w:rsidRPr="00B35439">
        <w:rPr>
          <w:lang w:eastAsia="en-US"/>
        </w:rPr>
        <w:t>32 млн грн;</w:t>
      </w:r>
    </w:p>
    <w:p w14:paraId="1FDD3CBC" w14:textId="77777777" w:rsidR="00CD3F38" w:rsidRPr="00B35439" w:rsidRDefault="00CD3F38" w:rsidP="00CD3F38">
      <w:pPr>
        <w:widowControl w:val="0"/>
        <w:tabs>
          <w:tab w:val="left" w:pos="1134"/>
        </w:tabs>
        <w:ind w:firstLine="709"/>
        <w:contextualSpacing/>
        <w:rPr>
          <w:lang w:eastAsia="en-US"/>
        </w:rPr>
      </w:pPr>
    </w:p>
    <w:p w14:paraId="056FC314" w14:textId="28706463" w:rsidR="00CD3F38" w:rsidRPr="00CD50F1" w:rsidRDefault="00CD3F38" w:rsidP="00CD3F38">
      <w:pPr>
        <w:widowControl w:val="0"/>
        <w:numPr>
          <w:ilvl w:val="0"/>
          <w:numId w:val="18"/>
        </w:numPr>
        <w:tabs>
          <w:tab w:val="left" w:pos="1134"/>
        </w:tabs>
        <w:ind w:left="0" w:firstLine="709"/>
        <w:contextualSpacing/>
        <w:rPr>
          <w:lang w:eastAsia="en-US"/>
        </w:rPr>
      </w:pPr>
      <w:r w:rsidRPr="00CD50F1">
        <w:rPr>
          <w:lang w:eastAsia="en-US"/>
        </w:rPr>
        <w:t xml:space="preserve">нормативний запас платоспроможності, який визначається </w:t>
      </w:r>
      <w:r w:rsidR="00913400" w:rsidRPr="00CD50F1">
        <w:rPr>
          <w:lang w:eastAsia="en-US"/>
        </w:rPr>
        <w:t xml:space="preserve">згідно з </w:t>
      </w:r>
      <w:r w:rsidR="006E5313" w:rsidRPr="00CD50F1">
        <w:rPr>
          <w:lang w:eastAsia="en-US"/>
        </w:rPr>
        <w:t xml:space="preserve">порядком визначення нормативного запасу платоспроможності </w:t>
      </w:r>
      <w:r w:rsidR="006E5313" w:rsidRPr="00CD50F1">
        <w:rPr>
          <w:rFonts w:eastAsiaTheme="majorEastAsia"/>
          <w:lang w:eastAsia="en-US"/>
        </w:rPr>
        <w:t>для страховика, який здійснює або планує здійснювати страхування інше, ніж страхування життя, встановленим у</w:t>
      </w:r>
      <w:r w:rsidR="006E5313" w:rsidRPr="00CD50F1">
        <w:rPr>
          <w:lang w:eastAsia="en-US"/>
        </w:rPr>
        <w:t xml:space="preserve"> </w:t>
      </w:r>
      <w:r w:rsidRPr="00CD50F1">
        <w:rPr>
          <w:lang w:eastAsia="en-US"/>
        </w:rPr>
        <w:t>додатк</w:t>
      </w:r>
      <w:r w:rsidR="006E5313" w:rsidRPr="00CD50F1">
        <w:rPr>
          <w:lang w:eastAsia="en-US"/>
        </w:rPr>
        <w:t>у</w:t>
      </w:r>
      <w:r w:rsidRPr="00CD50F1">
        <w:rPr>
          <w:lang w:eastAsia="en-US"/>
        </w:rPr>
        <w:t xml:space="preserve"> </w:t>
      </w:r>
      <w:r w:rsidR="007C4D38" w:rsidRPr="00CD50F1">
        <w:rPr>
          <w:lang w:eastAsia="en-US"/>
        </w:rPr>
        <w:t xml:space="preserve">2 </w:t>
      </w:r>
      <w:r w:rsidRPr="00CD50F1">
        <w:rPr>
          <w:lang w:eastAsia="en-US"/>
        </w:rPr>
        <w:t>до цього Положення.</w:t>
      </w:r>
    </w:p>
    <w:p w14:paraId="2B9B9462" w14:textId="77777777" w:rsidR="00CD3F38" w:rsidRPr="00CD50F1" w:rsidRDefault="00CD3F38" w:rsidP="00CD3F38">
      <w:pPr>
        <w:widowControl w:val="0"/>
        <w:tabs>
          <w:tab w:val="left" w:pos="1134"/>
        </w:tabs>
        <w:ind w:firstLine="709"/>
        <w:rPr>
          <w:lang w:eastAsia="en-US"/>
        </w:rPr>
      </w:pPr>
    </w:p>
    <w:p w14:paraId="0A983D56" w14:textId="6424A014" w:rsidR="00CD3F38" w:rsidRPr="00B35439" w:rsidRDefault="00CD3F38" w:rsidP="00CD3F38">
      <w:pPr>
        <w:widowControl w:val="0"/>
        <w:numPr>
          <w:ilvl w:val="0"/>
          <w:numId w:val="4"/>
        </w:numPr>
        <w:tabs>
          <w:tab w:val="left" w:pos="1134"/>
        </w:tabs>
        <w:ind w:left="0" w:firstLine="709"/>
        <w:outlineLvl w:val="1"/>
        <w:rPr>
          <w:rFonts w:eastAsiaTheme="majorEastAsia"/>
          <w:lang w:eastAsia="en-US"/>
        </w:rPr>
      </w:pPr>
      <w:r w:rsidRPr="00CD50F1">
        <w:rPr>
          <w:rFonts w:eastAsiaTheme="majorEastAsia"/>
          <w:lang w:eastAsia="en-US"/>
        </w:rPr>
        <w:t>Розрахунок нормативу платоспроможності та достатності капіталу, визначений у пунктах 2</w:t>
      </w:r>
      <w:r w:rsidR="00B6012A" w:rsidRPr="00CD50F1">
        <w:rPr>
          <w:rFonts w:eastAsiaTheme="majorEastAsia"/>
          <w:lang w:eastAsia="en-US"/>
        </w:rPr>
        <w:t>1</w:t>
      </w:r>
      <w:r w:rsidRPr="00CD50F1">
        <w:rPr>
          <w:rFonts w:eastAsiaTheme="majorEastAsia"/>
          <w:lang w:eastAsia="en-US"/>
        </w:rPr>
        <w:t xml:space="preserve"> та 2</w:t>
      </w:r>
      <w:r w:rsidR="00B6012A" w:rsidRPr="00CD50F1">
        <w:rPr>
          <w:rFonts w:eastAsiaTheme="majorEastAsia"/>
          <w:lang w:eastAsia="en-US"/>
        </w:rPr>
        <w:t>2</w:t>
      </w:r>
      <w:r w:rsidRPr="00CD50F1">
        <w:rPr>
          <w:rFonts w:eastAsiaTheme="majorEastAsia"/>
          <w:lang w:eastAsia="en-US"/>
        </w:rPr>
        <w:t xml:space="preserve"> розділу ІІІ цього Положення, здійснюється страховиком станом на останній день кожного кварталу (31 березня, 30 червня, 30 вересня, 31 грудня) і не змінюється</w:t>
      </w:r>
      <w:r w:rsidRPr="00B35439">
        <w:rPr>
          <w:rFonts w:eastAsiaTheme="majorEastAsia"/>
          <w:lang w:eastAsia="en-US"/>
        </w:rPr>
        <w:t xml:space="preserve"> до наступної дати розрахунку нормативу платоспроможності та достатності капіталу відповідно до цього Положення.</w:t>
      </w:r>
    </w:p>
    <w:p w14:paraId="276F9792" w14:textId="77777777" w:rsidR="002E24F6" w:rsidRPr="00B35439" w:rsidRDefault="002E24F6" w:rsidP="00AB2D69">
      <w:pPr>
        <w:widowControl w:val="0"/>
        <w:tabs>
          <w:tab w:val="left" w:pos="709"/>
        </w:tabs>
        <w:ind w:firstLine="709"/>
        <w:rPr>
          <w:rFonts w:eastAsiaTheme="majorEastAsia"/>
          <w:lang w:eastAsia="en-US"/>
        </w:rPr>
      </w:pPr>
      <w:r w:rsidRPr="00B35439">
        <w:rPr>
          <w:lang w:eastAsia="en-US"/>
        </w:rPr>
        <w:t xml:space="preserve">Страховик </w:t>
      </w:r>
      <w:r w:rsidRPr="00B35439">
        <w:rPr>
          <w:rFonts w:eastAsiaTheme="majorEastAsia"/>
          <w:lang w:eastAsia="en-US"/>
        </w:rPr>
        <w:t xml:space="preserve">для розрахунку нормативного запасу платоспроможності застосовує вперше підпункт 3 пункту 1 додатка 2 до цього Положення з дати </w:t>
      </w:r>
      <w:r w:rsidRPr="00B35439">
        <w:rPr>
          <w:rFonts w:eastAsiaTheme="majorEastAsia"/>
          <w:lang w:eastAsia="en-US"/>
        </w:rPr>
        <w:lastRenderedPageBreak/>
        <w:t>розрахунку, наступної після першого розрахунку нормативного запасу платоспроможності згідно з підпунктами 1, 2 пункту 1 додатка 2 до Положення станом на 31 грудня.</w:t>
      </w:r>
    </w:p>
    <w:p w14:paraId="0D75B588" w14:textId="77777777" w:rsidR="00CD3F38" w:rsidRPr="00B35439" w:rsidRDefault="00CD3F38" w:rsidP="00CD3F38">
      <w:pPr>
        <w:widowControl w:val="0"/>
        <w:tabs>
          <w:tab w:val="left" w:pos="1134"/>
        </w:tabs>
        <w:ind w:firstLine="709"/>
        <w:rPr>
          <w:lang w:eastAsia="en-US"/>
        </w:rPr>
      </w:pPr>
    </w:p>
    <w:p w14:paraId="77C1D91A" w14:textId="6C1E0863" w:rsidR="00CD3F38" w:rsidRPr="00B35439" w:rsidRDefault="00CD3F38" w:rsidP="00CD3F38">
      <w:pPr>
        <w:widowControl w:val="0"/>
        <w:numPr>
          <w:ilvl w:val="0"/>
          <w:numId w:val="4"/>
        </w:numPr>
        <w:tabs>
          <w:tab w:val="left" w:pos="1134"/>
        </w:tabs>
        <w:ind w:left="0" w:firstLine="709"/>
        <w:outlineLvl w:val="1"/>
        <w:rPr>
          <w:rFonts w:eastAsiaTheme="majorEastAsia" w:cstheme="majorBidi"/>
          <w:szCs w:val="26"/>
        </w:rPr>
      </w:pPr>
      <w:r w:rsidRPr="00B35439">
        <w:rPr>
          <w:rFonts w:eastAsiaTheme="majorEastAsia" w:cstheme="majorBidi"/>
          <w:szCs w:val="26"/>
        </w:rPr>
        <w:t xml:space="preserve">Страховик з метою </w:t>
      </w:r>
      <w:r w:rsidRPr="00B35439">
        <w:rPr>
          <w:rFonts w:eastAsiaTheme="majorEastAsia"/>
          <w:lang w:eastAsia="en-US"/>
        </w:rPr>
        <w:t xml:space="preserve">визначення </w:t>
      </w:r>
      <w:r w:rsidRPr="00B35439">
        <w:rPr>
          <w:rFonts w:eastAsiaTheme="majorEastAsia" w:cstheme="majorBidi"/>
          <w:szCs w:val="26"/>
        </w:rPr>
        <w:t>дотримання нормативу платоспроможності та достатності капіталу</w:t>
      </w:r>
      <w:r w:rsidRPr="00B35439" w:rsidDel="0048705B">
        <w:rPr>
          <w:rFonts w:eastAsiaTheme="majorEastAsia"/>
          <w:lang w:eastAsia="en-US"/>
        </w:rPr>
        <w:t xml:space="preserve"> </w:t>
      </w:r>
      <w:r w:rsidRPr="00B35439">
        <w:rPr>
          <w:rFonts w:eastAsiaTheme="majorEastAsia"/>
          <w:lang w:eastAsia="en-US"/>
        </w:rPr>
        <w:t>визначає фактичний запас платоспроможності (</w:t>
      </w:r>
      <w:r w:rsidR="00E964C7" w:rsidRPr="00B35439">
        <w:rPr>
          <w:rFonts w:eastAsiaTheme="majorEastAsia"/>
          <w:lang w:eastAsia="en-US"/>
        </w:rPr>
        <w:t xml:space="preserve">далі </w:t>
      </w:r>
      <w:r w:rsidR="00A41E61" w:rsidRPr="00B35439">
        <w:rPr>
          <w:rFonts w:eastAsiaTheme="majorEastAsia"/>
          <w:lang w:eastAsia="en-US"/>
        </w:rPr>
        <w:t>–</w:t>
      </w:r>
      <w:r w:rsidR="00E964C7" w:rsidRPr="00B35439">
        <w:rPr>
          <w:rFonts w:eastAsiaTheme="majorEastAsia"/>
          <w:lang w:eastAsia="en-US"/>
        </w:rPr>
        <w:t xml:space="preserve"> </w:t>
      </w:r>
      <w:r w:rsidRPr="00B35439">
        <w:rPr>
          <w:rFonts w:eastAsiaTheme="majorEastAsia"/>
          <w:lang w:eastAsia="en-US"/>
        </w:rPr>
        <w:t>ФЗП) наступним чином</w:t>
      </w:r>
      <w:r w:rsidRPr="00B35439">
        <w:rPr>
          <w:rFonts w:eastAsiaTheme="majorEastAsia" w:cstheme="majorBidi"/>
          <w:szCs w:val="26"/>
        </w:rPr>
        <w:t>:</w:t>
      </w:r>
    </w:p>
    <w:p w14:paraId="62B2AB36" w14:textId="77777777" w:rsidR="00CD3F38" w:rsidRPr="00B35439" w:rsidRDefault="00CD3F38" w:rsidP="00CD3F38">
      <w:pPr>
        <w:widowControl w:val="0"/>
        <w:shd w:val="clear" w:color="auto" w:fill="FFFFFF"/>
        <w:tabs>
          <w:tab w:val="left" w:pos="1134"/>
        </w:tabs>
        <w:ind w:firstLine="709"/>
        <w:contextualSpacing/>
        <w:rPr>
          <w:lang w:eastAsia="en-US"/>
        </w:rPr>
      </w:pPr>
    </w:p>
    <w:p w14:paraId="7B5F1EB0" w14:textId="77777777" w:rsidR="00CD3F38" w:rsidRPr="00B35439" w:rsidRDefault="00CD3F38" w:rsidP="00CD3F38">
      <w:pPr>
        <w:widowControl w:val="0"/>
        <w:shd w:val="clear" w:color="auto" w:fill="FFFFFF"/>
        <w:tabs>
          <w:tab w:val="left" w:pos="1134"/>
        </w:tabs>
        <w:ind w:firstLine="709"/>
        <w:contextualSpacing/>
        <w:jc w:val="center"/>
        <w:rPr>
          <w:lang w:eastAsia="en-US"/>
        </w:rPr>
      </w:pPr>
      <m:oMath>
        <m:r>
          <w:rPr>
            <w:rFonts w:ascii="Cambria Math" w:hAnsi="Cambria Math"/>
            <w:lang w:eastAsia="en-US"/>
          </w:rPr>
          <m:t>ФЗП=ПА-(З-ВАВ-СБ)</m:t>
        </m:r>
      </m:oMath>
      <w:r w:rsidRPr="00B35439">
        <w:rPr>
          <w:lang w:eastAsia="en-US"/>
        </w:rPr>
        <w:t>,</w:t>
      </w:r>
    </w:p>
    <w:p w14:paraId="0B29519B" w14:textId="77777777" w:rsidR="00CD3F38" w:rsidRPr="00B35439" w:rsidRDefault="00CD3F38" w:rsidP="00CD3F38">
      <w:pPr>
        <w:widowControl w:val="0"/>
        <w:tabs>
          <w:tab w:val="left" w:pos="1134"/>
        </w:tabs>
        <w:ind w:firstLine="709"/>
      </w:pPr>
    </w:p>
    <w:p w14:paraId="4B2C70F6" w14:textId="77777777" w:rsidR="00CD3F38" w:rsidRPr="00B35439" w:rsidRDefault="00CD3F38" w:rsidP="00CD3F38">
      <w:pPr>
        <w:widowControl w:val="0"/>
        <w:tabs>
          <w:tab w:val="left" w:pos="1134"/>
        </w:tabs>
        <w:ind w:firstLine="709"/>
      </w:pPr>
      <w:r w:rsidRPr="00B35439">
        <w:t xml:space="preserve">де </w:t>
      </w:r>
      <m:oMath>
        <m:r>
          <w:rPr>
            <w:rFonts w:ascii="Cambria Math" w:hAnsi="Cambria Math"/>
            <w:lang w:eastAsia="en-US"/>
          </w:rPr>
          <m:t>ПА</m:t>
        </m:r>
      </m:oMath>
      <w:r w:rsidRPr="00B35439">
        <w:t xml:space="preserve"> – </w:t>
      </w:r>
      <w:r w:rsidRPr="00B35439">
        <w:rPr>
          <w:rFonts w:eastAsia="Calibri"/>
        </w:rPr>
        <w:t>сума прийнятних активів, визначених відповідно до розділу ІІ цього Положення;</w:t>
      </w:r>
    </w:p>
    <w:p w14:paraId="02F67C6A" w14:textId="4DE26BAC" w:rsidR="00CD3F38" w:rsidRPr="00B35439" w:rsidRDefault="00CD3F38" w:rsidP="00CD3F38">
      <w:pPr>
        <w:widowControl w:val="0"/>
        <w:tabs>
          <w:tab w:val="left" w:pos="1134"/>
        </w:tabs>
        <w:ind w:firstLine="709"/>
      </w:pPr>
      <m:oMath>
        <m:r>
          <w:rPr>
            <w:rFonts w:ascii="Cambria Math" w:hAnsi="Cambria Math"/>
            <w:lang w:eastAsia="en-US"/>
          </w:rPr>
          <m:t>З</m:t>
        </m:r>
      </m:oMath>
      <w:r w:rsidRPr="00B35439">
        <w:t xml:space="preserve"> – загальна сума зобов’язань страховика, що розраховується за даними Звіту про фінансовий стан страховика, складеного за міжнародними стандартами фінансової звітності, як сума величини зобов’язань (поточних та непоточних зобов’язань і забезпечень) та сформованого резерву катастроф та резерву коливань збитковості;</w:t>
      </w:r>
    </w:p>
    <w:p w14:paraId="450FA954" w14:textId="77777777" w:rsidR="00CD3F38" w:rsidRPr="00B35439" w:rsidRDefault="00CD3F38" w:rsidP="00CD3F38">
      <w:pPr>
        <w:widowControl w:val="0"/>
        <w:tabs>
          <w:tab w:val="left" w:pos="1134"/>
        </w:tabs>
        <w:ind w:firstLine="709"/>
      </w:pPr>
      <m:oMath>
        <m:r>
          <w:rPr>
            <w:rFonts w:ascii="Cambria Math" w:hAnsi="Cambria Math"/>
            <w:lang w:eastAsia="en-US"/>
          </w:rPr>
          <m:t>ВАВ</m:t>
        </m:r>
      </m:oMath>
      <w:r w:rsidRPr="00B35439">
        <w:t xml:space="preserve"> – розмір відстрочених аквізиційних витрат, який не може перевищувати</w:t>
      </w:r>
      <w:r w:rsidRPr="00B35439">
        <w:rPr>
          <w:lang w:eastAsia="en-US"/>
        </w:rPr>
        <w:t>:</w:t>
      </w:r>
    </w:p>
    <w:p w14:paraId="04DFC58D" w14:textId="77777777" w:rsidR="00CD3F38" w:rsidRPr="00B35439" w:rsidRDefault="00CD3F38" w:rsidP="00CD3F38">
      <w:pPr>
        <w:widowControl w:val="0"/>
        <w:tabs>
          <w:tab w:val="left" w:pos="1134"/>
        </w:tabs>
        <w:ind w:firstLine="709"/>
      </w:pPr>
      <w:bookmarkStart w:id="156" w:name="n223"/>
      <w:bookmarkStart w:id="157" w:name="n132"/>
      <w:bookmarkEnd w:id="156"/>
      <w:bookmarkEnd w:id="157"/>
      <w:r w:rsidRPr="00B35439">
        <w:t xml:space="preserve">7 відсотків розміру сформованого резерву </w:t>
      </w:r>
      <w:proofErr w:type="spellStart"/>
      <w:r w:rsidRPr="00B35439">
        <w:t>нетто</w:t>
      </w:r>
      <w:proofErr w:type="spellEnd"/>
      <w:r w:rsidRPr="00B35439">
        <w:t xml:space="preserve">-премій – для страховика, який отримав ліцензію на провадження діяльності із страхування життя. Водночас відстрочені </w:t>
      </w:r>
      <w:proofErr w:type="spellStart"/>
      <w:r w:rsidRPr="00B35439">
        <w:t>аквізиційні</w:t>
      </w:r>
      <w:proofErr w:type="spellEnd"/>
      <w:r w:rsidRPr="00B35439">
        <w:t xml:space="preserve"> витрати можуть бути враховані в такій мірі, щоб не включати суми, враховані під час застосування модифікації резерву </w:t>
      </w:r>
      <w:proofErr w:type="spellStart"/>
      <w:r w:rsidRPr="00B35439">
        <w:t>нетто</w:t>
      </w:r>
      <w:proofErr w:type="spellEnd"/>
      <w:r w:rsidRPr="00B35439">
        <w:t>-премій;</w:t>
      </w:r>
    </w:p>
    <w:p w14:paraId="17AA6806" w14:textId="77777777" w:rsidR="00CD3F38" w:rsidRPr="00B35439" w:rsidRDefault="00CD3F38" w:rsidP="00CD3F38">
      <w:pPr>
        <w:widowControl w:val="0"/>
        <w:tabs>
          <w:tab w:val="left" w:pos="1134"/>
        </w:tabs>
        <w:ind w:firstLine="709"/>
        <w:rPr>
          <w:lang w:eastAsia="en-US"/>
        </w:rPr>
      </w:pPr>
      <w:bookmarkStart w:id="158" w:name="n133"/>
      <w:bookmarkEnd w:id="158"/>
      <w:r w:rsidRPr="00B35439">
        <w:t>30</w:t>
      </w:r>
      <w:r w:rsidRPr="00B35439">
        <w:rPr>
          <w:lang w:eastAsia="en-US"/>
        </w:rPr>
        <w:t xml:space="preserve"> відсотків розміру сформованого резерву незароблених премій за тими видами добровільного страхування іншого, ніж страхування життя, за якими резерв незароблених премій сформований страховиком методом “1/365” відповідно до Методики;</w:t>
      </w:r>
    </w:p>
    <w:p w14:paraId="7F6571B0" w14:textId="77777777" w:rsidR="00CD3F38" w:rsidRPr="00B35439" w:rsidRDefault="00CD3F38" w:rsidP="00CD3F38">
      <w:pPr>
        <w:widowControl w:val="0"/>
        <w:tabs>
          <w:tab w:val="left" w:pos="1134"/>
        </w:tabs>
        <w:ind w:firstLine="709"/>
        <w:rPr>
          <w:lang w:eastAsia="en-US"/>
        </w:rPr>
      </w:pPr>
      <w:r w:rsidRPr="00B35439">
        <w:rPr>
          <w:lang w:eastAsia="en-US"/>
        </w:rPr>
        <w:t>20 відсотків розміру сформованого резерву незароблених премій за тими видами обов’язкового страхування, за якими резерв незароблених премій сформований страховиком методом “1/365” відповідно до Методики;</w:t>
      </w:r>
    </w:p>
    <w:p w14:paraId="71C76006" w14:textId="77777777" w:rsidR="00CD3F38" w:rsidRPr="00B35439" w:rsidRDefault="00CD3F38" w:rsidP="00CD3F38">
      <w:pPr>
        <w:widowControl w:val="0"/>
        <w:tabs>
          <w:tab w:val="left" w:pos="1134"/>
        </w:tabs>
        <w:ind w:firstLine="709"/>
        <w:rPr>
          <w:lang w:eastAsia="en-US"/>
        </w:rPr>
      </w:pPr>
      <w:r w:rsidRPr="00B35439">
        <w:rPr>
          <w:lang w:eastAsia="en-US"/>
        </w:rPr>
        <w:t xml:space="preserve">СБ – </w:t>
      </w:r>
      <w:proofErr w:type="spellStart"/>
      <w:r w:rsidRPr="00B35439">
        <w:rPr>
          <w:lang w:eastAsia="en-US"/>
        </w:rPr>
        <w:t>субординований</w:t>
      </w:r>
      <w:proofErr w:type="spellEnd"/>
      <w:r w:rsidRPr="00B35439">
        <w:rPr>
          <w:lang w:eastAsia="en-US"/>
        </w:rPr>
        <w:t xml:space="preserve"> борг</w:t>
      </w:r>
      <w:r w:rsidRPr="00B35439">
        <w:rPr>
          <w:shd w:val="clear" w:color="auto" w:fill="FFFFFF"/>
        </w:rPr>
        <w:t xml:space="preserve"> за умови отримання дозволу Національного банку щодо його включення до ФЗП в порядку, визначеному у </w:t>
      </w:r>
      <w:r w:rsidRPr="00B35439">
        <w:rPr>
          <w:lang w:eastAsia="en-US"/>
        </w:rPr>
        <w:t xml:space="preserve">розділі VI до цього Положення, який не може перевищувати 50 відсотків нормативу платоспроможності та достатності капіталу, а у разі встановлення фіксованого строку погашення боргу – не більше 25 відсотків нормативу платоспроможності та достатності капіталу. Кошти, залучені на умовах субординованого боргу, мають враховуватися до ФЗП в останні п’ять років дії угоди (договору) про залучення коштів на умовах субординованого боргу з урахуванням розміру амортизації від залишкової суми субординованого боргу, нарахованої методом </w:t>
      </w:r>
      <w:proofErr w:type="spellStart"/>
      <w:r w:rsidRPr="00B35439">
        <w:rPr>
          <w:lang w:eastAsia="en-US"/>
        </w:rPr>
        <w:t>прямолонійної</w:t>
      </w:r>
      <w:proofErr w:type="spellEnd"/>
      <w:r w:rsidRPr="00B35439">
        <w:rPr>
          <w:lang w:eastAsia="en-US"/>
        </w:rPr>
        <w:t xml:space="preserve"> амортизації.</w:t>
      </w:r>
    </w:p>
    <w:p w14:paraId="08BBC663" w14:textId="77777777" w:rsidR="00CD3F38" w:rsidRPr="00B35439" w:rsidRDefault="00CD3F38" w:rsidP="00CD3F38">
      <w:pPr>
        <w:widowControl w:val="0"/>
        <w:shd w:val="clear" w:color="auto" w:fill="FFFFFF"/>
        <w:tabs>
          <w:tab w:val="left" w:pos="1134"/>
        </w:tabs>
        <w:ind w:firstLine="709"/>
        <w:rPr>
          <w:lang w:eastAsia="en-US"/>
        </w:rPr>
      </w:pPr>
    </w:p>
    <w:p w14:paraId="26B66F5A" w14:textId="77777777" w:rsidR="00CD3F38" w:rsidRPr="00B35439" w:rsidRDefault="00CD3F38" w:rsidP="00CD3F38">
      <w:pPr>
        <w:widowControl w:val="0"/>
        <w:numPr>
          <w:ilvl w:val="0"/>
          <w:numId w:val="4"/>
        </w:numPr>
        <w:tabs>
          <w:tab w:val="left" w:pos="1134"/>
        </w:tabs>
        <w:ind w:left="0" w:firstLine="709"/>
        <w:outlineLvl w:val="1"/>
        <w:rPr>
          <w:rFonts w:eastAsiaTheme="majorEastAsia"/>
          <w:lang w:eastAsia="en-US"/>
        </w:rPr>
      </w:pPr>
      <w:bookmarkStart w:id="159" w:name="n134"/>
      <w:bookmarkStart w:id="160" w:name="n135"/>
      <w:bookmarkEnd w:id="159"/>
      <w:bookmarkEnd w:id="160"/>
      <w:r w:rsidRPr="00B35439">
        <w:rPr>
          <w:rFonts w:eastAsiaTheme="majorEastAsia"/>
          <w:lang w:eastAsia="en-US"/>
        </w:rPr>
        <w:lastRenderedPageBreak/>
        <w:t>Фактичний запас платоспроможності страховика на будь-яку дату має бути не меншим нормативу платоспроможності та достатності капіталу.</w:t>
      </w:r>
    </w:p>
    <w:p w14:paraId="3FDA89B1" w14:textId="77777777" w:rsidR="00CD3F38" w:rsidRPr="00B35439" w:rsidRDefault="00CD3F38" w:rsidP="00CD3F38">
      <w:pPr>
        <w:widowControl w:val="0"/>
        <w:tabs>
          <w:tab w:val="left" w:pos="1134"/>
        </w:tabs>
        <w:ind w:firstLine="709"/>
        <w:rPr>
          <w:lang w:eastAsia="en-US"/>
        </w:rPr>
      </w:pPr>
    </w:p>
    <w:p w14:paraId="3DE11568" w14:textId="77777777" w:rsidR="00CD3F38" w:rsidRPr="00B35439" w:rsidRDefault="00CD3F38" w:rsidP="00CD3F38">
      <w:pPr>
        <w:widowControl w:val="0"/>
        <w:numPr>
          <w:ilvl w:val="0"/>
          <w:numId w:val="3"/>
        </w:numPr>
        <w:shd w:val="clear" w:color="auto" w:fill="FFFFFF"/>
        <w:tabs>
          <w:tab w:val="left" w:pos="1134"/>
          <w:tab w:val="left" w:pos="1276"/>
        </w:tabs>
        <w:ind w:left="0" w:firstLine="709"/>
        <w:contextualSpacing/>
        <w:jc w:val="center"/>
        <w:outlineLvl w:val="0"/>
        <w:rPr>
          <w:lang w:eastAsia="en-US"/>
        </w:rPr>
      </w:pPr>
      <w:bookmarkStart w:id="161" w:name="n138"/>
      <w:bookmarkEnd w:id="161"/>
      <w:r w:rsidRPr="00B35439">
        <w:rPr>
          <w:bCs/>
          <w:lang w:eastAsia="en-US"/>
        </w:rPr>
        <w:t>Норматив ризиковості операцій</w:t>
      </w:r>
    </w:p>
    <w:p w14:paraId="7EFF02E8" w14:textId="77777777" w:rsidR="00CD3F38" w:rsidRPr="00B35439" w:rsidRDefault="00CD3F38" w:rsidP="00CD3F38">
      <w:pPr>
        <w:widowControl w:val="0"/>
        <w:shd w:val="clear" w:color="auto" w:fill="FFFFFF"/>
        <w:tabs>
          <w:tab w:val="left" w:pos="1134"/>
          <w:tab w:val="left" w:pos="1276"/>
        </w:tabs>
        <w:ind w:firstLine="709"/>
        <w:rPr>
          <w:lang w:eastAsia="en-US"/>
        </w:rPr>
      </w:pPr>
    </w:p>
    <w:p w14:paraId="181F6D1A" w14:textId="12D01B73" w:rsidR="00CD3F38" w:rsidRPr="00B35439" w:rsidRDefault="00CD3F38" w:rsidP="00CD3F38">
      <w:pPr>
        <w:widowControl w:val="0"/>
        <w:numPr>
          <w:ilvl w:val="0"/>
          <w:numId w:val="4"/>
        </w:numPr>
        <w:tabs>
          <w:tab w:val="left" w:pos="1134"/>
        </w:tabs>
        <w:ind w:left="0" w:firstLine="709"/>
        <w:outlineLvl w:val="1"/>
        <w:rPr>
          <w:rFonts w:eastAsiaTheme="majorEastAsia" w:cstheme="majorBidi"/>
          <w:sz w:val="26"/>
          <w:szCs w:val="26"/>
        </w:rPr>
      </w:pPr>
      <w:bookmarkStart w:id="162" w:name="n139"/>
      <w:bookmarkEnd w:id="162"/>
      <w:r w:rsidRPr="00B35439">
        <w:rPr>
          <w:rFonts w:eastAsiaTheme="majorEastAsia"/>
          <w:lang w:eastAsia="en-US"/>
        </w:rPr>
        <w:t xml:space="preserve">Норматив ризиковості операцій </w:t>
      </w:r>
      <w:r w:rsidR="00407D24" w:rsidRPr="00B35439">
        <w:rPr>
          <w:rFonts w:eastAsiaTheme="majorEastAsia"/>
          <w:lang w:eastAsia="en-US"/>
        </w:rPr>
        <w:t xml:space="preserve">на будь-яку дату </w:t>
      </w:r>
      <w:r w:rsidRPr="00B35439">
        <w:rPr>
          <w:rFonts w:eastAsiaTheme="majorEastAsia"/>
          <w:lang w:eastAsia="en-US"/>
        </w:rPr>
        <w:t xml:space="preserve">встановлюється в розмірі страхових резервів, які розраховуються відповідно до законодавства України, за вирахуванням </w:t>
      </w:r>
      <w:bookmarkStart w:id="163" w:name="n226"/>
      <w:bookmarkEnd w:id="163"/>
      <w:r w:rsidRPr="00B35439">
        <w:rPr>
          <w:rFonts w:eastAsiaTheme="majorEastAsia"/>
          <w:lang w:eastAsia="en-US"/>
        </w:rPr>
        <w:t>розміру</w:t>
      </w:r>
      <w:r w:rsidRPr="00B35439">
        <w:rPr>
          <w:rFonts w:eastAsiaTheme="majorEastAsia" w:cstheme="majorBidi"/>
          <w:szCs w:val="26"/>
        </w:rPr>
        <w:t xml:space="preserve"> відстрочених аквізиційних витрат в обсязі не більше:</w:t>
      </w:r>
    </w:p>
    <w:p w14:paraId="08A94ACD" w14:textId="77777777" w:rsidR="00CD3F38" w:rsidRPr="00B35439" w:rsidRDefault="00CD3F38" w:rsidP="00CD3F38">
      <w:pPr>
        <w:tabs>
          <w:tab w:val="left" w:pos="1134"/>
        </w:tabs>
        <w:ind w:firstLine="709"/>
        <w:rPr>
          <w:lang w:eastAsia="en-US"/>
        </w:rPr>
      </w:pPr>
      <w:bookmarkStart w:id="164" w:name="n227"/>
      <w:bookmarkEnd w:id="164"/>
    </w:p>
    <w:p w14:paraId="61A75178" w14:textId="77777777" w:rsidR="00CD3F38" w:rsidRPr="00B35439" w:rsidRDefault="00CD3F38" w:rsidP="00CD3F38">
      <w:pPr>
        <w:widowControl w:val="0"/>
        <w:numPr>
          <w:ilvl w:val="0"/>
          <w:numId w:val="11"/>
        </w:numPr>
        <w:shd w:val="clear" w:color="auto" w:fill="FFFFFF"/>
        <w:tabs>
          <w:tab w:val="left" w:pos="1134"/>
        </w:tabs>
        <w:ind w:left="0" w:firstLine="709"/>
        <w:contextualSpacing/>
      </w:pPr>
      <w:bookmarkStart w:id="165" w:name="n228"/>
      <w:bookmarkEnd w:id="165"/>
      <w:r w:rsidRPr="00B35439">
        <w:t xml:space="preserve">7 відсотків розміру сформованого резерву </w:t>
      </w:r>
      <w:proofErr w:type="spellStart"/>
      <w:r w:rsidRPr="00B35439">
        <w:t>нетто</w:t>
      </w:r>
      <w:proofErr w:type="spellEnd"/>
      <w:r w:rsidRPr="00B35439">
        <w:t xml:space="preserve">-премій – для страховика, який отримав ліцензію на провадження діяльності із страхування життя. Водночас відстрочені </w:t>
      </w:r>
      <w:proofErr w:type="spellStart"/>
      <w:r w:rsidRPr="00B35439">
        <w:t>аквізиційні</w:t>
      </w:r>
      <w:proofErr w:type="spellEnd"/>
      <w:r w:rsidRPr="00B35439">
        <w:t xml:space="preserve"> витрати можуть бути враховані в такій мірі, щоб не включати суми, враховані під час застосування модифікації резерву </w:t>
      </w:r>
      <w:proofErr w:type="spellStart"/>
      <w:r w:rsidRPr="00B35439">
        <w:t>нетто</w:t>
      </w:r>
      <w:proofErr w:type="spellEnd"/>
      <w:r w:rsidRPr="00B35439">
        <w:t>-премій;</w:t>
      </w:r>
    </w:p>
    <w:p w14:paraId="6AED4EDE" w14:textId="77777777" w:rsidR="00CD3F38" w:rsidRPr="00B35439" w:rsidRDefault="00CD3F38" w:rsidP="00CD3F38">
      <w:pPr>
        <w:widowControl w:val="0"/>
        <w:shd w:val="clear" w:color="auto" w:fill="FFFFFF"/>
        <w:tabs>
          <w:tab w:val="left" w:pos="1134"/>
        </w:tabs>
        <w:ind w:firstLine="709"/>
        <w:rPr>
          <w:lang w:eastAsia="en-US"/>
        </w:rPr>
      </w:pPr>
    </w:p>
    <w:p w14:paraId="2CF79888" w14:textId="77777777" w:rsidR="00CD3F38" w:rsidRPr="00B35439" w:rsidRDefault="00CD3F38" w:rsidP="00CD3F38">
      <w:pPr>
        <w:widowControl w:val="0"/>
        <w:numPr>
          <w:ilvl w:val="0"/>
          <w:numId w:val="11"/>
        </w:numPr>
        <w:shd w:val="clear" w:color="auto" w:fill="FFFFFF"/>
        <w:tabs>
          <w:tab w:val="left" w:pos="1134"/>
        </w:tabs>
        <w:ind w:left="0" w:firstLine="709"/>
        <w:contextualSpacing/>
        <w:rPr>
          <w:lang w:eastAsia="en-US"/>
        </w:rPr>
      </w:pPr>
      <w:bookmarkStart w:id="166" w:name="_Hlk57713838"/>
      <w:r w:rsidRPr="00B35439">
        <w:t>30</w:t>
      </w:r>
      <w:r w:rsidRPr="00B35439">
        <w:rPr>
          <w:lang w:eastAsia="en-US"/>
        </w:rPr>
        <w:t xml:space="preserve"> відсотків розміру сформованого резерву незароблених премій за тими видами добровільного страхування іншого, ніж страхування життя, за якими резерв незароблених премій сформований страховиком методом “1/365” відповідно до Методики;</w:t>
      </w:r>
    </w:p>
    <w:p w14:paraId="31A352E1" w14:textId="77777777" w:rsidR="00CD3F38" w:rsidRPr="00B35439" w:rsidRDefault="00CD3F38" w:rsidP="00CD3F38">
      <w:pPr>
        <w:tabs>
          <w:tab w:val="left" w:pos="1134"/>
        </w:tabs>
        <w:ind w:firstLine="709"/>
        <w:contextualSpacing/>
        <w:rPr>
          <w:lang w:eastAsia="en-US"/>
        </w:rPr>
      </w:pPr>
    </w:p>
    <w:p w14:paraId="61AF416D" w14:textId="77777777" w:rsidR="00CD3F38" w:rsidRPr="00B35439" w:rsidRDefault="00CD3F38" w:rsidP="00CD3F38">
      <w:pPr>
        <w:widowControl w:val="0"/>
        <w:numPr>
          <w:ilvl w:val="0"/>
          <w:numId w:val="11"/>
        </w:numPr>
        <w:shd w:val="clear" w:color="auto" w:fill="FFFFFF"/>
        <w:tabs>
          <w:tab w:val="left" w:pos="1134"/>
        </w:tabs>
        <w:ind w:left="0" w:firstLine="709"/>
        <w:contextualSpacing/>
        <w:rPr>
          <w:lang w:eastAsia="en-US"/>
        </w:rPr>
      </w:pPr>
      <w:r w:rsidRPr="00B35439">
        <w:rPr>
          <w:lang w:eastAsia="en-US"/>
        </w:rPr>
        <w:t>20 відсотків розміру сформованого резерву незароблених премій за тими видами обов’язкового страхування, за якими резерв незароблених премій сформований страховиком методом “1/365” відповідно до Методики.</w:t>
      </w:r>
    </w:p>
    <w:p w14:paraId="1B6DDB93" w14:textId="77777777" w:rsidR="00CD3F38" w:rsidRPr="00B35439" w:rsidRDefault="00CD3F38" w:rsidP="00CD3F38">
      <w:pPr>
        <w:widowControl w:val="0"/>
        <w:shd w:val="clear" w:color="auto" w:fill="FFFFFF"/>
        <w:tabs>
          <w:tab w:val="left" w:pos="1134"/>
        </w:tabs>
        <w:ind w:firstLine="709"/>
        <w:rPr>
          <w:lang w:eastAsia="en-US"/>
        </w:rPr>
      </w:pPr>
    </w:p>
    <w:p w14:paraId="608D5C3C" w14:textId="77777777" w:rsidR="00CD3F38" w:rsidRPr="00B35439" w:rsidRDefault="00CD3F38" w:rsidP="00CD3F38">
      <w:pPr>
        <w:widowControl w:val="0"/>
        <w:numPr>
          <w:ilvl w:val="0"/>
          <w:numId w:val="4"/>
        </w:numPr>
        <w:tabs>
          <w:tab w:val="left" w:pos="1134"/>
        </w:tabs>
        <w:ind w:left="0" w:firstLine="709"/>
        <w:outlineLvl w:val="1"/>
        <w:rPr>
          <w:rFonts w:eastAsiaTheme="majorEastAsia"/>
          <w:lang w:eastAsia="en-US"/>
        </w:rPr>
      </w:pPr>
      <w:bookmarkStart w:id="167" w:name="n225"/>
      <w:bookmarkStart w:id="168" w:name="n143"/>
      <w:bookmarkEnd w:id="167"/>
      <w:bookmarkEnd w:id="168"/>
      <w:r w:rsidRPr="00B35439">
        <w:rPr>
          <w:rFonts w:eastAsiaTheme="majorEastAsia"/>
          <w:lang w:eastAsia="en-US"/>
        </w:rPr>
        <w:t>Страховик для виконання нормативу ризиковості операцій зобов’язаний дотримуватися таких вимог:</w:t>
      </w:r>
    </w:p>
    <w:p w14:paraId="2A184EBA" w14:textId="77777777" w:rsidR="00CD3F38" w:rsidRPr="00B35439" w:rsidRDefault="00CD3F38" w:rsidP="00CD3F38">
      <w:pPr>
        <w:widowControl w:val="0"/>
        <w:tabs>
          <w:tab w:val="left" w:pos="1134"/>
        </w:tabs>
        <w:ind w:firstLine="709"/>
        <w:rPr>
          <w:lang w:eastAsia="en-US"/>
        </w:rPr>
      </w:pPr>
    </w:p>
    <w:p w14:paraId="019102C0" w14:textId="519EFDCC" w:rsidR="00CD3F38" w:rsidRPr="00B35439" w:rsidRDefault="00CD3F38" w:rsidP="00CD3F38">
      <w:pPr>
        <w:widowControl w:val="0"/>
        <w:numPr>
          <w:ilvl w:val="0"/>
          <w:numId w:val="20"/>
        </w:numPr>
        <w:shd w:val="clear" w:color="auto" w:fill="FFFFFF"/>
        <w:tabs>
          <w:tab w:val="left" w:pos="1134"/>
        </w:tabs>
        <w:ind w:left="0" w:firstLine="709"/>
        <w:contextualSpacing/>
        <w:rPr>
          <w:lang w:eastAsia="en-US"/>
        </w:rPr>
      </w:pPr>
      <w:r w:rsidRPr="00B35439">
        <w:rPr>
          <w:lang w:eastAsia="en-US"/>
        </w:rPr>
        <w:t>сума прийнятних активів з урахуванням вимог та обмежень, установлених у розділі ІІ та у пунктах 2</w:t>
      </w:r>
      <w:r w:rsidR="00B6012A" w:rsidRPr="00B35439">
        <w:rPr>
          <w:lang w:eastAsia="en-US"/>
        </w:rPr>
        <w:t>8</w:t>
      </w:r>
      <w:r w:rsidR="00750442" w:rsidRPr="00B35439">
        <w:rPr>
          <w:lang w:eastAsia="en-US"/>
        </w:rPr>
        <w:t>,</w:t>
      </w:r>
      <w:r w:rsidRPr="00B35439">
        <w:rPr>
          <w:lang w:eastAsia="en-US"/>
        </w:rPr>
        <w:t xml:space="preserve"> 2</w:t>
      </w:r>
      <w:r w:rsidR="00B6012A" w:rsidRPr="00B35439">
        <w:rPr>
          <w:lang w:eastAsia="en-US"/>
        </w:rPr>
        <w:t>9</w:t>
      </w:r>
      <w:r w:rsidRPr="00B35439">
        <w:rPr>
          <w:lang w:eastAsia="en-US"/>
        </w:rPr>
        <w:t xml:space="preserve"> розділу ІV цього Положення, на будь-яку дату має бути не меншою нормативу ризиковості операцій;</w:t>
      </w:r>
    </w:p>
    <w:p w14:paraId="332336AC" w14:textId="77777777" w:rsidR="00CD3F38" w:rsidRPr="00B35439" w:rsidRDefault="00CD3F38" w:rsidP="00CD3F38">
      <w:pPr>
        <w:widowControl w:val="0"/>
        <w:shd w:val="clear" w:color="auto" w:fill="FFFFFF"/>
        <w:tabs>
          <w:tab w:val="left" w:pos="1134"/>
        </w:tabs>
        <w:ind w:firstLine="709"/>
        <w:contextualSpacing/>
      </w:pPr>
    </w:p>
    <w:p w14:paraId="68F543CB" w14:textId="76A6D578" w:rsidR="00CD3F38" w:rsidRPr="00B35439" w:rsidRDefault="00CD3F38" w:rsidP="00CD3F38">
      <w:pPr>
        <w:widowControl w:val="0"/>
        <w:numPr>
          <w:ilvl w:val="0"/>
          <w:numId w:val="20"/>
        </w:numPr>
        <w:shd w:val="clear" w:color="auto" w:fill="FFFFFF"/>
        <w:tabs>
          <w:tab w:val="left" w:pos="1134"/>
        </w:tabs>
        <w:ind w:left="0" w:firstLine="709"/>
        <w:contextualSpacing/>
      </w:pPr>
      <w:r w:rsidRPr="00B35439">
        <w:t xml:space="preserve">сума прийнятних активів </w:t>
      </w:r>
      <w:r w:rsidRPr="00B35439">
        <w:rPr>
          <w:lang w:eastAsia="en-US"/>
        </w:rPr>
        <w:t>з урахуванням вимог та обмежень, установлених у розділі ІІ та у пунктах 2</w:t>
      </w:r>
      <w:r w:rsidR="00B6012A" w:rsidRPr="00B35439">
        <w:rPr>
          <w:lang w:eastAsia="en-US"/>
        </w:rPr>
        <w:t>8</w:t>
      </w:r>
      <w:r w:rsidR="00750442" w:rsidRPr="00B35439">
        <w:rPr>
          <w:lang w:eastAsia="en-US"/>
        </w:rPr>
        <w:t>,</w:t>
      </w:r>
      <w:r w:rsidRPr="00B35439">
        <w:rPr>
          <w:lang w:eastAsia="en-US"/>
        </w:rPr>
        <w:t xml:space="preserve"> 2</w:t>
      </w:r>
      <w:r w:rsidR="00B6012A" w:rsidRPr="00B35439">
        <w:rPr>
          <w:lang w:eastAsia="en-US"/>
        </w:rPr>
        <w:t>9</w:t>
      </w:r>
      <w:r w:rsidRPr="00B35439">
        <w:rPr>
          <w:lang w:eastAsia="en-US"/>
        </w:rPr>
        <w:t xml:space="preserve"> розділу ІV цього Положення, </w:t>
      </w:r>
      <w:r w:rsidRPr="00B35439">
        <w:t xml:space="preserve">у кожній окремій валюті, що відповідає валюті страхування, </w:t>
      </w:r>
      <w:r w:rsidRPr="00B35439">
        <w:rPr>
          <w:lang w:eastAsia="en-US"/>
        </w:rPr>
        <w:t>на будь-яку дату має бути не меншою</w:t>
      </w:r>
      <w:r w:rsidRPr="00B35439">
        <w:t xml:space="preserve"> 80 відсотків страхових резервів, сформованих страховиком у такій валюті страхування відповідно до законодавства.</w:t>
      </w:r>
    </w:p>
    <w:p w14:paraId="2436A9E3" w14:textId="03CB53A8" w:rsidR="00CD3F38" w:rsidRPr="00B35439" w:rsidRDefault="00D66473" w:rsidP="00CD3F38">
      <w:pPr>
        <w:widowControl w:val="0"/>
        <w:shd w:val="clear" w:color="auto" w:fill="FFFFFF"/>
        <w:tabs>
          <w:tab w:val="left" w:pos="1134"/>
        </w:tabs>
        <w:ind w:firstLine="709"/>
        <w:contextualSpacing/>
      </w:pPr>
      <w:r w:rsidRPr="00B35439">
        <w:t>С</w:t>
      </w:r>
      <w:r w:rsidR="00CD3F38" w:rsidRPr="00B35439">
        <w:t>траховик має право не застосовувати вимогу абзацу першого підпункту 2 пункту 2</w:t>
      </w:r>
      <w:r w:rsidR="00B6012A" w:rsidRPr="00B35439">
        <w:t>7</w:t>
      </w:r>
      <w:r w:rsidR="00CD3F38" w:rsidRPr="00B35439">
        <w:t xml:space="preserve"> розділу IV цього Положення до частини прийнятних активів, що відповідає розміру страхового резерву у окремій валюті страхування</w:t>
      </w:r>
      <w:r w:rsidRPr="00B35439">
        <w:t>, якщо сформований страховиком страховий резерв у такій окремій валюті страхування становить не більше 7% загальної суми страхових резервів страховика</w:t>
      </w:r>
      <w:r w:rsidR="00CD3F38" w:rsidRPr="00B35439">
        <w:t>.</w:t>
      </w:r>
    </w:p>
    <w:p w14:paraId="6020313F" w14:textId="77777777" w:rsidR="00CD3F38" w:rsidRPr="00B35439" w:rsidRDefault="00CD3F38" w:rsidP="00CD3F38">
      <w:pPr>
        <w:widowControl w:val="0"/>
        <w:shd w:val="clear" w:color="auto" w:fill="FFFFFF"/>
        <w:tabs>
          <w:tab w:val="left" w:pos="1134"/>
        </w:tabs>
        <w:ind w:firstLine="709"/>
        <w:contextualSpacing/>
        <w:rPr>
          <w:lang w:eastAsia="en-US"/>
        </w:rPr>
      </w:pPr>
    </w:p>
    <w:p w14:paraId="4E0E182D" w14:textId="77777777" w:rsidR="00CD3F38" w:rsidRPr="00B35439" w:rsidRDefault="00CD3F38" w:rsidP="00CD3F38">
      <w:pPr>
        <w:widowControl w:val="0"/>
        <w:numPr>
          <w:ilvl w:val="0"/>
          <w:numId w:val="4"/>
        </w:numPr>
        <w:tabs>
          <w:tab w:val="left" w:pos="1134"/>
        </w:tabs>
        <w:ind w:left="0" w:firstLine="709"/>
        <w:outlineLvl w:val="1"/>
        <w:rPr>
          <w:rFonts w:eastAsiaTheme="majorEastAsia" w:cstheme="majorBidi"/>
          <w:szCs w:val="26"/>
        </w:rPr>
      </w:pPr>
      <w:r w:rsidRPr="00B35439">
        <w:rPr>
          <w:rFonts w:eastAsiaTheme="majorEastAsia"/>
          <w:lang w:eastAsia="en-US"/>
        </w:rPr>
        <w:t>Сума прийнятних активів для цілей дотримання нормативу</w:t>
      </w:r>
      <w:r w:rsidRPr="00B35439">
        <w:rPr>
          <w:rFonts w:eastAsiaTheme="majorEastAsia" w:cstheme="majorBidi"/>
          <w:szCs w:val="26"/>
        </w:rPr>
        <w:t xml:space="preserve"> ризиковості операцій включає прийнятні активи </w:t>
      </w:r>
      <w:r w:rsidRPr="00B35439">
        <w:rPr>
          <w:rFonts w:eastAsiaTheme="majorEastAsia"/>
          <w:lang w:eastAsia="en-US"/>
        </w:rPr>
        <w:t xml:space="preserve">(з урахуванням обмежень, встановлених у розділі ІІ цього Положення) </w:t>
      </w:r>
      <w:r w:rsidRPr="00B35439">
        <w:rPr>
          <w:rFonts w:eastAsiaTheme="majorEastAsia" w:cstheme="majorBidi"/>
          <w:szCs w:val="26"/>
        </w:rPr>
        <w:t>в таких обсягах:</w:t>
      </w:r>
    </w:p>
    <w:bookmarkEnd w:id="166"/>
    <w:p w14:paraId="0DC24B78" w14:textId="77777777" w:rsidR="00CD3F38" w:rsidRPr="00B35439" w:rsidRDefault="00CD3F38" w:rsidP="00CD3F38">
      <w:pPr>
        <w:widowControl w:val="0"/>
        <w:shd w:val="clear" w:color="auto" w:fill="FFFFFF"/>
        <w:tabs>
          <w:tab w:val="left" w:pos="1134"/>
        </w:tabs>
        <w:ind w:firstLine="709"/>
        <w:contextualSpacing/>
        <w:rPr>
          <w:lang w:eastAsia="en-US"/>
        </w:rPr>
      </w:pPr>
    </w:p>
    <w:p w14:paraId="71D5FB41" w14:textId="77777777" w:rsidR="00CD3F38" w:rsidRPr="00B35439" w:rsidRDefault="00CD3F38" w:rsidP="00CD3F38">
      <w:pPr>
        <w:widowControl w:val="0"/>
        <w:numPr>
          <w:ilvl w:val="0"/>
          <w:numId w:val="6"/>
        </w:numPr>
        <w:shd w:val="clear" w:color="auto" w:fill="FFFFFF"/>
        <w:tabs>
          <w:tab w:val="left" w:pos="1134"/>
        </w:tabs>
        <w:ind w:left="0" w:firstLine="709"/>
        <w:contextualSpacing/>
        <w:rPr>
          <w:lang w:eastAsia="en-US"/>
        </w:rPr>
      </w:pPr>
      <w:bookmarkStart w:id="169" w:name="n144"/>
      <w:bookmarkEnd w:id="169"/>
      <w:r w:rsidRPr="00B35439">
        <w:rPr>
          <w:lang w:eastAsia="en-US"/>
        </w:rPr>
        <w:t>грошові кошти на поточних рахунках, банківські вклади (депозити) та кошти на рахунках умовного зберігання (</w:t>
      </w:r>
      <w:proofErr w:type="spellStart"/>
      <w:r w:rsidRPr="00B35439">
        <w:rPr>
          <w:lang w:eastAsia="en-US"/>
        </w:rPr>
        <w:t>ескроу</w:t>
      </w:r>
      <w:proofErr w:type="spellEnd"/>
      <w:r w:rsidRPr="00B35439">
        <w:rPr>
          <w:lang w:eastAsia="en-US"/>
        </w:rPr>
        <w:t xml:space="preserve">) – разом не більше 90 відсотків страхових резервів (за винятком коштів у розмірі резерву заявлених, але не врегульованих збитків, або резерву заявлених, але не виплачених збитків), з них </w:t>
      </w:r>
      <w:bookmarkStart w:id="170" w:name="n229"/>
      <w:bookmarkStart w:id="171" w:name="n145"/>
      <w:bookmarkStart w:id="172" w:name="n147"/>
      <w:bookmarkEnd w:id="170"/>
      <w:bookmarkEnd w:id="171"/>
      <w:bookmarkEnd w:id="172"/>
      <w:r w:rsidRPr="00B35439">
        <w:rPr>
          <w:lang w:eastAsia="en-US"/>
        </w:rPr>
        <w:t>банківські вклади (депозити) у банківських металах – не більше 15 відсотків страхових резервів.</w:t>
      </w:r>
    </w:p>
    <w:p w14:paraId="3914E373" w14:textId="2A54FDD8" w:rsidR="00CD3F38" w:rsidRPr="00B35439" w:rsidRDefault="00CD3F38" w:rsidP="00CD3F38">
      <w:pPr>
        <w:widowControl w:val="0"/>
        <w:shd w:val="clear" w:color="auto" w:fill="FFFFFF"/>
        <w:tabs>
          <w:tab w:val="left" w:pos="1134"/>
        </w:tabs>
        <w:ind w:firstLine="709"/>
        <w:rPr>
          <w:lang w:eastAsia="en-US"/>
        </w:rPr>
      </w:pPr>
      <w:r w:rsidRPr="00B35439">
        <w:rPr>
          <w:lang w:eastAsia="en-US"/>
        </w:rPr>
        <w:t>Активи, якими представлені кошти резерву заявлених, але не врегульованих збитків, або кошти резерву заявлених, але не виплачених збитків, зазначені в підпункті 1 пункту 2</w:t>
      </w:r>
      <w:r w:rsidR="00B6012A" w:rsidRPr="00B35439">
        <w:rPr>
          <w:lang w:eastAsia="en-US"/>
        </w:rPr>
        <w:t>8</w:t>
      </w:r>
      <w:r w:rsidRPr="00B35439">
        <w:rPr>
          <w:lang w:eastAsia="en-US"/>
        </w:rPr>
        <w:t xml:space="preserve"> розділу IV цього Положення, включаються до прийнятних активів для цілей дотримання нормативу ризиковості операцій у повному обсязі;</w:t>
      </w:r>
    </w:p>
    <w:p w14:paraId="71668FE9" w14:textId="77777777" w:rsidR="00CD3F38" w:rsidRPr="00B35439" w:rsidRDefault="00CD3F38" w:rsidP="00CD3F38">
      <w:pPr>
        <w:widowControl w:val="0"/>
        <w:shd w:val="clear" w:color="auto" w:fill="FFFFFF"/>
        <w:tabs>
          <w:tab w:val="left" w:pos="1134"/>
        </w:tabs>
        <w:ind w:firstLine="709"/>
        <w:rPr>
          <w:lang w:eastAsia="en-US"/>
        </w:rPr>
      </w:pPr>
      <w:bookmarkStart w:id="173" w:name="n149"/>
      <w:bookmarkStart w:id="174" w:name="n150"/>
      <w:bookmarkEnd w:id="173"/>
      <w:bookmarkEnd w:id="174"/>
    </w:p>
    <w:p w14:paraId="06ABD562" w14:textId="77777777" w:rsidR="00CD3F38" w:rsidRPr="00B35439" w:rsidRDefault="00CD3F38" w:rsidP="00CD3F38">
      <w:pPr>
        <w:widowControl w:val="0"/>
        <w:numPr>
          <w:ilvl w:val="0"/>
          <w:numId w:val="6"/>
        </w:numPr>
        <w:shd w:val="clear" w:color="auto" w:fill="FFFFFF"/>
        <w:tabs>
          <w:tab w:val="left" w:pos="1134"/>
        </w:tabs>
        <w:ind w:left="0" w:firstLine="709"/>
        <w:contextualSpacing/>
        <w:rPr>
          <w:lang w:eastAsia="en-US"/>
        </w:rPr>
      </w:pPr>
      <w:bookmarkStart w:id="175" w:name="n230"/>
      <w:bookmarkStart w:id="176" w:name="n151"/>
      <w:bookmarkEnd w:id="175"/>
      <w:bookmarkEnd w:id="176"/>
      <w:r w:rsidRPr="00B35439">
        <w:rPr>
          <w:lang w:eastAsia="en-US"/>
        </w:rPr>
        <w:t>нерухоме майно – не більше 20 відсотків страхових резервів, водночас вкладення в один об’єкт нерухомого майна – не більше 10 відсотків страхових резервів;</w:t>
      </w:r>
    </w:p>
    <w:p w14:paraId="0925CE45" w14:textId="77777777" w:rsidR="00CD3F38" w:rsidRPr="00B35439" w:rsidRDefault="00CD3F38" w:rsidP="00CD3F38">
      <w:pPr>
        <w:widowControl w:val="0"/>
        <w:shd w:val="clear" w:color="auto" w:fill="FFFFFF"/>
        <w:tabs>
          <w:tab w:val="left" w:pos="1134"/>
          <w:tab w:val="left" w:pos="1276"/>
        </w:tabs>
        <w:ind w:firstLine="709"/>
        <w:contextualSpacing/>
        <w:rPr>
          <w:lang w:eastAsia="en-US"/>
        </w:rPr>
      </w:pPr>
      <w:bookmarkStart w:id="177" w:name="n152"/>
      <w:bookmarkStart w:id="178" w:name="_Hlk57713877"/>
      <w:bookmarkEnd w:id="177"/>
    </w:p>
    <w:p w14:paraId="0A66F35A" w14:textId="77777777" w:rsidR="00CD3F38" w:rsidRPr="00B35439" w:rsidRDefault="00CD3F38" w:rsidP="00CD3F38">
      <w:pPr>
        <w:widowControl w:val="0"/>
        <w:numPr>
          <w:ilvl w:val="0"/>
          <w:numId w:val="6"/>
        </w:numPr>
        <w:shd w:val="clear" w:color="auto" w:fill="FFFFFF"/>
        <w:tabs>
          <w:tab w:val="left" w:pos="1134"/>
          <w:tab w:val="left" w:pos="1276"/>
        </w:tabs>
        <w:ind w:left="0" w:firstLine="709"/>
        <w:contextualSpacing/>
        <w:rPr>
          <w:lang w:eastAsia="en-US"/>
        </w:rPr>
      </w:pPr>
      <w:r w:rsidRPr="00B35439">
        <w:rPr>
          <w:lang w:eastAsia="en-US"/>
        </w:rPr>
        <w:t>цінні папери за зазначеним нижче переліком – разом не більше 40 відсотків страхових резерві в, із них:</w:t>
      </w:r>
    </w:p>
    <w:p w14:paraId="2A9285B5" w14:textId="77777777" w:rsidR="00CD3F38" w:rsidRPr="00B35439" w:rsidRDefault="00CD3F38" w:rsidP="00CD3F38">
      <w:pPr>
        <w:widowControl w:val="0"/>
        <w:shd w:val="clear" w:color="auto" w:fill="FFFFFF"/>
        <w:tabs>
          <w:tab w:val="left" w:pos="1134"/>
        </w:tabs>
        <w:ind w:firstLine="709"/>
        <w:rPr>
          <w:lang w:eastAsia="en-US"/>
        </w:rPr>
      </w:pPr>
      <w:bookmarkStart w:id="179" w:name="n153"/>
      <w:bookmarkStart w:id="180" w:name="n154"/>
      <w:bookmarkStart w:id="181" w:name="n155"/>
      <w:bookmarkEnd w:id="179"/>
      <w:bookmarkEnd w:id="180"/>
      <w:bookmarkEnd w:id="181"/>
      <w:r w:rsidRPr="00B35439">
        <w:rPr>
          <w:lang w:eastAsia="en-US"/>
        </w:rPr>
        <w:t>акції українських емітентів – не більше трьох відсотків страхових резервів;</w:t>
      </w:r>
    </w:p>
    <w:p w14:paraId="52204B91" w14:textId="77777777" w:rsidR="00CD3F38" w:rsidRPr="00B35439" w:rsidRDefault="00CD3F38" w:rsidP="00CD3F38">
      <w:pPr>
        <w:widowControl w:val="0"/>
        <w:shd w:val="clear" w:color="auto" w:fill="FFFFFF"/>
        <w:tabs>
          <w:tab w:val="left" w:pos="1134"/>
        </w:tabs>
        <w:ind w:firstLine="709"/>
        <w:rPr>
          <w:lang w:eastAsia="en-US"/>
        </w:rPr>
      </w:pPr>
      <w:r w:rsidRPr="00B35439">
        <w:rPr>
          <w:lang w:eastAsia="en-US"/>
        </w:rPr>
        <w:t>корпоративні облігації українських емітентів – для страховика, який отримав ліцензію на провадження діяльності із страхування життя, – не більше 40 відсотків страхових резервів, а для страховика, що здійснює страхування інше, ніж страхування життя, – не більше 30 відсотків страхових резервів;</w:t>
      </w:r>
    </w:p>
    <w:p w14:paraId="3BFFD936" w14:textId="77777777" w:rsidR="00CD3F38" w:rsidRPr="00B35439" w:rsidRDefault="00CD3F38" w:rsidP="00CD3F38">
      <w:pPr>
        <w:widowControl w:val="0"/>
        <w:shd w:val="clear" w:color="auto" w:fill="FFFFFF"/>
        <w:tabs>
          <w:tab w:val="left" w:pos="1134"/>
        </w:tabs>
        <w:ind w:firstLine="709"/>
        <w:rPr>
          <w:lang w:eastAsia="en-US"/>
        </w:rPr>
      </w:pPr>
      <w:r w:rsidRPr="00B35439">
        <w:rPr>
          <w:lang w:eastAsia="en-US"/>
        </w:rPr>
        <w:t>акції, облігації іноземних емітентів та цінні папери іноземних держав – для страховика, який отримав ліцензію на провадження діяльності із страхування життя, – не більше 20 відсотків страхових резервів, а для страховика, що здійснює страхування інше, ніж страхування життя, – не більше 10 відсотків страхових резервів;</w:t>
      </w:r>
    </w:p>
    <w:p w14:paraId="613CB6CB" w14:textId="77777777" w:rsidR="00CD3F38" w:rsidRPr="00B35439" w:rsidRDefault="00CD3F38" w:rsidP="00CD3F38">
      <w:pPr>
        <w:widowControl w:val="0"/>
        <w:shd w:val="clear" w:color="auto" w:fill="FFFFFF"/>
        <w:tabs>
          <w:tab w:val="left" w:pos="1134"/>
        </w:tabs>
        <w:ind w:firstLine="709"/>
        <w:rPr>
          <w:lang w:eastAsia="en-US"/>
        </w:rPr>
      </w:pPr>
      <w:bookmarkStart w:id="182" w:name="n156"/>
      <w:bookmarkStart w:id="183" w:name="n157"/>
      <w:bookmarkStart w:id="184" w:name="n158"/>
      <w:bookmarkEnd w:id="182"/>
      <w:bookmarkEnd w:id="183"/>
      <w:bookmarkEnd w:id="184"/>
      <w:r w:rsidRPr="00B35439">
        <w:rPr>
          <w:lang w:eastAsia="en-US"/>
        </w:rPr>
        <w:t>облігації міжнародних фінансових організацій – не більше 40 відсотків страхових резервів;</w:t>
      </w:r>
    </w:p>
    <w:p w14:paraId="713D8334" w14:textId="77777777" w:rsidR="00CD3F38" w:rsidRPr="00B35439" w:rsidRDefault="00CD3F38" w:rsidP="00CD3F38">
      <w:pPr>
        <w:widowControl w:val="0"/>
        <w:shd w:val="clear" w:color="auto" w:fill="FFFFFF"/>
        <w:tabs>
          <w:tab w:val="left" w:pos="1134"/>
        </w:tabs>
        <w:ind w:firstLine="709"/>
        <w:rPr>
          <w:lang w:eastAsia="en-US"/>
        </w:rPr>
      </w:pPr>
      <w:r w:rsidRPr="00B35439">
        <w:rPr>
          <w:lang w:eastAsia="en-US"/>
        </w:rPr>
        <w:t>облігації внутрішніх місцевих позик – не більше 10 відсотків страхових резервів;</w:t>
      </w:r>
    </w:p>
    <w:p w14:paraId="5FDF4C96" w14:textId="77777777" w:rsidR="00CD3F38" w:rsidRPr="00B35439" w:rsidRDefault="00CD3F38" w:rsidP="00CD3F38">
      <w:pPr>
        <w:widowControl w:val="0"/>
        <w:shd w:val="clear" w:color="auto" w:fill="FFFFFF"/>
        <w:tabs>
          <w:tab w:val="left" w:pos="1134"/>
        </w:tabs>
        <w:ind w:firstLine="709"/>
        <w:rPr>
          <w:lang w:eastAsia="en-US"/>
        </w:rPr>
      </w:pPr>
    </w:p>
    <w:p w14:paraId="148A0983" w14:textId="77777777" w:rsidR="00CD3F38" w:rsidRPr="00B35439" w:rsidRDefault="00CD3F38" w:rsidP="00CD3F38">
      <w:pPr>
        <w:widowControl w:val="0"/>
        <w:numPr>
          <w:ilvl w:val="0"/>
          <w:numId w:val="6"/>
        </w:numPr>
        <w:shd w:val="clear" w:color="auto" w:fill="FFFFFF"/>
        <w:tabs>
          <w:tab w:val="left" w:pos="1134"/>
          <w:tab w:val="left" w:pos="1276"/>
        </w:tabs>
        <w:ind w:left="0" w:firstLine="709"/>
        <w:contextualSpacing/>
        <w:rPr>
          <w:lang w:eastAsia="en-US"/>
        </w:rPr>
      </w:pPr>
      <w:bookmarkStart w:id="185" w:name="n159"/>
      <w:bookmarkEnd w:id="178"/>
      <w:bookmarkEnd w:id="185"/>
      <w:r w:rsidRPr="00B35439">
        <w:rPr>
          <w:lang w:eastAsia="en-US"/>
        </w:rPr>
        <w:t>державні облігації України – для страховика, який отримав ліцензію на провадження діяльності із страхування життя, – не більше 95 відсотків страхових резервів, а для страховика, що здійснює страхування інше, ніж страхування життя, – не більше 80 відсотків страхових резервів;</w:t>
      </w:r>
    </w:p>
    <w:p w14:paraId="0E9B931A" w14:textId="77777777" w:rsidR="00CD3F38" w:rsidRPr="00B35439" w:rsidRDefault="00CD3F38" w:rsidP="00CD3F38">
      <w:pPr>
        <w:widowControl w:val="0"/>
        <w:shd w:val="clear" w:color="auto" w:fill="FFFFFF"/>
        <w:tabs>
          <w:tab w:val="left" w:pos="1134"/>
          <w:tab w:val="left" w:pos="1276"/>
        </w:tabs>
        <w:ind w:firstLine="709"/>
        <w:contextualSpacing/>
        <w:rPr>
          <w:lang w:eastAsia="en-US"/>
        </w:rPr>
      </w:pPr>
    </w:p>
    <w:p w14:paraId="0166FBE1" w14:textId="77777777" w:rsidR="00CD3F38" w:rsidRPr="00B35439" w:rsidRDefault="00CD3F38" w:rsidP="00CD3F38">
      <w:pPr>
        <w:widowControl w:val="0"/>
        <w:numPr>
          <w:ilvl w:val="0"/>
          <w:numId w:val="6"/>
        </w:numPr>
        <w:shd w:val="clear" w:color="auto" w:fill="FFFFFF"/>
        <w:tabs>
          <w:tab w:val="left" w:pos="1134"/>
          <w:tab w:val="left" w:pos="1276"/>
        </w:tabs>
        <w:ind w:left="0" w:firstLine="709"/>
        <w:contextualSpacing/>
        <w:rPr>
          <w:lang w:eastAsia="en-US"/>
        </w:rPr>
      </w:pPr>
      <w:bookmarkStart w:id="186" w:name="n160"/>
      <w:bookmarkStart w:id="187" w:name="n301"/>
      <w:bookmarkEnd w:id="186"/>
      <w:bookmarkEnd w:id="187"/>
      <w:r w:rsidRPr="00B35439">
        <w:rPr>
          <w:lang w:eastAsia="en-US"/>
        </w:rPr>
        <w:t xml:space="preserve">права вимоги до </w:t>
      </w:r>
      <w:proofErr w:type="spellStart"/>
      <w:r w:rsidRPr="00B35439">
        <w:rPr>
          <w:lang w:eastAsia="en-US"/>
        </w:rPr>
        <w:t>перестраховиків</w:t>
      </w:r>
      <w:proofErr w:type="spellEnd"/>
      <w:r w:rsidRPr="00B35439">
        <w:rPr>
          <w:lang w:eastAsia="en-US"/>
        </w:rPr>
        <w:t xml:space="preserve">: </w:t>
      </w:r>
    </w:p>
    <w:p w14:paraId="66D99963" w14:textId="77777777" w:rsidR="00CD3F38" w:rsidRPr="00B35439" w:rsidRDefault="00CD3F38" w:rsidP="00CD3F38">
      <w:pPr>
        <w:widowControl w:val="0"/>
        <w:shd w:val="clear" w:color="auto" w:fill="FFFFFF"/>
        <w:tabs>
          <w:tab w:val="left" w:pos="1134"/>
          <w:tab w:val="left" w:pos="1276"/>
        </w:tabs>
        <w:ind w:firstLine="709"/>
        <w:contextualSpacing/>
        <w:rPr>
          <w:lang w:eastAsia="en-US"/>
        </w:rPr>
      </w:pPr>
      <w:r w:rsidRPr="00B35439">
        <w:rPr>
          <w:lang w:eastAsia="en-US"/>
        </w:rPr>
        <w:t>у резерві заявлених, але не виплачених збитків, або резерві заявлених, але не врегульованих збитків, – у повному обсязі;</w:t>
      </w:r>
    </w:p>
    <w:p w14:paraId="44DE6313" w14:textId="77777777" w:rsidR="00CD3F38" w:rsidRPr="00B35439" w:rsidRDefault="00CD3F38" w:rsidP="00CD3F38">
      <w:pPr>
        <w:widowControl w:val="0"/>
        <w:shd w:val="clear" w:color="auto" w:fill="FFFFFF"/>
        <w:tabs>
          <w:tab w:val="left" w:pos="1134"/>
          <w:tab w:val="left" w:pos="1276"/>
        </w:tabs>
        <w:ind w:firstLine="709"/>
        <w:contextualSpacing/>
        <w:rPr>
          <w:lang w:eastAsia="en-US"/>
        </w:rPr>
      </w:pPr>
      <w:bookmarkStart w:id="188" w:name="n302"/>
      <w:bookmarkEnd w:id="188"/>
      <w:r w:rsidRPr="00B35439">
        <w:rPr>
          <w:lang w:eastAsia="en-US"/>
        </w:rPr>
        <w:t xml:space="preserve">у резерві незароблених премій за укладеними договорами перестрахування ризиків за окремими видами страхування за умови, що такий </w:t>
      </w:r>
      <w:proofErr w:type="spellStart"/>
      <w:r w:rsidRPr="00B35439">
        <w:rPr>
          <w:lang w:eastAsia="en-US"/>
        </w:rPr>
        <w:t>перестраховик</w:t>
      </w:r>
      <w:proofErr w:type="spellEnd"/>
      <w:r w:rsidRPr="00B35439">
        <w:rPr>
          <w:lang w:eastAsia="en-US"/>
        </w:rPr>
        <w:t xml:space="preserve"> провадить страхову та/або </w:t>
      </w:r>
      <w:proofErr w:type="spellStart"/>
      <w:r w:rsidRPr="00B35439">
        <w:rPr>
          <w:lang w:eastAsia="en-US"/>
        </w:rPr>
        <w:t>перестрахову</w:t>
      </w:r>
      <w:proofErr w:type="spellEnd"/>
      <w:r w:rsidRPr="00B35439">
        <w:rPr>
          <w:lang w:eastAsia="en-US"/>
        </w:rPr>
        <w:t xml:space="preserve"> діяльність з відповідного виду страхування не менше 10 років, – у повному обсязі; </w:t>
      </w:r>
    </w:p>
    <w:p w14:paraId="228BBBBA" w14:textId="77777777" w:rsidR="00CD3F38" w:rsidRPr="00B35439" w:rsidRDefault="00CD3F38" w:rsidP="00CD3F38">
      <w:pPr>
        <w:widowControl w:val="0"/>
        <w:shd w:val="clear" w:color="auto" w:fill="FFFFFF"/>
        <w:tabs>
          <w:tab w:val="left" w:pos="1134"/>
        </w:tabs>
        <w:ind w:firstLine="709"/>
        <w:rPr>
          <w:lang w:eastAsia="en-US"/>
        </w:rPr>
      </w:pPr>
      <w:bookmarkStart w:id="189" w:name="n303"/>
      <w:bookmarkStart w:id="190" w:name="n304"/>
      <w:bookmarkStart w:id="191" w:name="n305"/>
      <w:bookmarkEnd w:id="189"/>
      <w:bookmarkEnd w:id="190"/>
      <w:bookmarkEnd w:id="191"/>
      <w:r w:rsidRPr="00B35439">
        <w:rPr>
          <w:lang w:eastAsia="en-US"/>
        </w:rPr>
        <w:t>за укладеними договорами перестрахування ризиків із страхування цивільної відповідальності оператора ядерної установки за ядерну шкоду, яка може бути заподіяна внаслідок ядерного інциденту, та за договорами, визначеними в пункті 5 розділу II Методики, – у повному обсязі;</w:t>
      </w:r>
    </w:p>
    <w:p w14:paraId="65AD90A8" w14:textId="199B0896" w:rsidR="00CD3F38" w:rsidRPr="00B35439" w:rsidRDefault="00CD3F38" w:rsidP="00CD3F38">
      <w:pPr>
        <w:widowControl w:val="0"/>
        <w:shd w:val="clear" w:color="auto" w:fill="FFFFFF"/>
        <w:tabs>
          <w:tab w:val="left" w:pos="1134"/>
        </w:tabs>
        <w:ind w:firstLine="709"/>
        <w:rPr>
          <w:lang w:eastAsia="en-US"/>
        </w:rPr>
      </w:pPr>
      <w:bookmarkStart w:id="192" w:name="n306"/>
      <w:bookmarkEnd w:id="192"/>
      <w:r w:rsidRPr="00B35439">
        <w:rPr>
          <w:lang w:eastAsia="en-US"/>
        </w:rPr>
        <w:t>інші, крім абзаців другого – четвертого підпункту 5 пункту 2</w:t>
      </w:r>
      <w:r w:rsidR="00B6012A" w:rsidRPr="00B35439">
        <w:rPr>
          <w:lang w:eastAsia="en-US"/>
        </w:rPr>
        <w:t>8</w:t>
      </w:r>
      <w:r w:rsidRPr="00B35439">
        <w:rPr>
          <w:lang w:eastAsia="en-US"/>
        </w:rPr>
        <w:t xml:space="preserve"> розділу ІV цього Положення, – не більше 50 відсотків страхових резервів за відповідними видами страхування, ураховуючи:</w:t>
      </w:r>
    </w:p>
    <w:p w14:paraId="4E935ED0" w14:textId="77777777" w:rsidR="00CD3F38" w:rsidRPr="00B35439" w:rsidRDefault="00CD3F38" w:rsidP="00CD3F38">
      <w:pPr>
        <w:widowControl w:val="0"/>
        <w:shd w:val="clear" w:color="auto" w:fill="FFFFFF"/>
        <w:tabs>
          <w:tab w:val="left" w:pos="1134"/>
        </w:tabs>
        <w:ind w:firstLine="709"/>
        <w:rPr>
          <w:lang w:eastAsia="en-US"/>
        </w:rPr>
      </w:pPr>
      <w:bookmarkStart w:id="193" w:name="n307"/>
      <w:bookmarkEnd w:id="193"/>
      <w:r w:rsidRPr="00B35439">
        <w:rPr>
          <w:lang w:eastAsia="en-US"/>
        </w:rPr>
        <w:t xml:space="preserve">права вимоги до </w:t>
      </w:r>
      <w:proofErr w:type="spellStart"/>
      <w:r w:rsidRPr="00B35439">
        <w:rPr>
          <w:lang w:eastAsia="en-US"/>
        </w:rPr>
        <w:t>перестраховиків</w:t>
      </w:r>
      <w:proofErr w:type="spellEnd"/>
      <w:r w:rsidRPr="00B35439">
        <w:rPr>
          <w:lang w:eastAsia="en-US"/>
        </w:rPr>
        <w:t>-резидентів – не більше 10 відсотків від страхових резервів;</w:t>
      </w:r>
    </w:p>
    <w:p w14:paraId="06A92CFB" w14:textId="77777777" w:rsidR="00CD3F38" w:rsidRPr="00B35439" w:rsidRDefault="00CD3F38" w:rsidP="00CD3F38">
      <w:pPr>
        <w:widowControl w:val="0"/>
        <w:shd w:val="clear" w:color="auto" w:fill="FFFFFF"/>
        <w:tabs>
          <w:tab w:val="left" w:pos="1134"/>
        </w:tabs>
        <w:ind w:firstLine="709"/>
        <w:rPr>
          <w:lang w:eastAsia="en-US"/>
        </w:rPr>
      </w:pPr>
      <w:bookmarkStart w:id="194" w:name="n308"/>
      <w:bookmarkEnd w:id="194"/>
      <w:r w:rsidRPr="00B35439">
        <w:rPr>
          <w:lang w:eastAsia="en-US"/>
        </w:rPr>
        <w:t xml:space="preserve">права вимоги до </w:t>
      </w:r>
      <w:proofErr w:type="spellStart"/>
      <w:r w:rsidRPr="00B35439">
        <w:rPr>
          <w:lang w:eastAsia="en-US"/>
        </w:rPr>
        <w:t>перестраховиків</w:t>
      </w:r>
      <w:proofErr w:type="spellEnd"/>
      <w:r w:rsidRPr="00B35439">
        <w:rPr>
          <w:lang w:eastAsia="en-US"/>
        </w:rPr>
        <w:t>-нерезидентів для страховика, який отримав ліцензію на провадження діяльності із страхування життя, – не більше 40 відсотків від страхових резервів;</w:t>
      </w:r>
      <w:bookmarkStart w:id="195" w:name="n309"/>
      <w:bookmarkEnd w:id="195"/>
    </w:p>
    <w:p w14:paraId="232F3D60" w14:textId="77777777" w:rsidR="00CD3F38" w:rsidRPr="00B35439" w:rsidRDefault="00CD3F38" w:rsidP="00CD3F38">
      <w:pPr>
        <w:widowControl w:val="0"/>
        <w:shd w:val="clear" w:color="auto" w:fill="FFFFFF"/>
        <w:tabs>
          <w:tab w:val="left" w:pos="1134"/>
        </w:tabs>
        <w:ind w:firstLine="709"/>
        <w:rPr>
          <w:lang w:eastAsia="en-US"/>
        </w:rPr>
      </w:pPr>
    </w:p>
    <w:p w14:paraId="66525B72" w14:textId="77777777" w:rsidR="00CD3F38" w:rsidRPr="00B35439" w:rsidRDefault="00CD3F38" w:rsidP="00CD3F38">
      <w:pPr>
        <w:widowControl w:val="0"/>
        <w:numPr>
          <w:ilvl w:val="0"/>
          <w:numId w:val="6"/>
        </w:numPr>
        <w:shd w:val="clear" w:color="auto" w:fill="FFFFFF"/>
        <w:tabs>
          <w:tab w:val="left" w:pos="1134"/>
          <w:tab w:val="left" w:pos="1276"/>
        </w:tabs>
        <w:ind w:left="0" w:firstLine="709"/>
        <w:contextualSpacing/>
        <w:rPr>
          <w:lang w:eastAsia="en-US"/>
        </w:rPr>
      </w:pPr>
      <w:bookmarkStart w:id="196" w:name="n310"/>
      <w:bookmarkStart w:id="197" w:name="n184"/>
      <w:bookmarkStart w:id="198" w:name="n185"/>
      <w:bookmarkStart w:id="199" w:name="n187"/>
      <w:bookmarkEnd w:id="196"/>
      <w:bookmarkEnd w:id="197"/>
      <w:bookmarkEnd w:id="198"/>
      <w:bookmarkEnd w:id="199"/>
      <w:r w:rsidRPr="00B35439">
        <w:rPr>
          <w:lang w:eastAsia="en-US"/>
        </w:rPr>
        <w:t>кредити страхувальникам – фізичним особам – у сукупності не більше 20 відсотків страхових резервів із страхування життя;</w:t>
      </w:r>
    </w:p>
    <w:p w14:paraId="008B20E0" w14:textId="77777777" w:rsidR="00CD3F38" w:rsidRPr="00B35439" w:rsidRDefault="00CD3F38" w:rsidP="00CD3F38">
      <w:pPr>
        <w:widowControl w:val="0"/>
        <w:tabs>
          <w:tab w:val="left" w:pos="1134"/>
        </w:tabs>
        <w:ind w:firstLine="709"/>
        <w:contextualSpacing/>
        <w:rPr>
          <w:lang w:eastAsia="en-US"/>
        </w:rPr>
      </w:pPr>
    </w:p>
    <w:p w14:paraId="7478D989" w14:textId="77777777" w:rsidR="00CD3F38" w:rsidRPr="00B35439" w:rsidRDefault="00CD3F38" w:rsidP="00CD3F38">
      <w:pPr>
        <w:widowControl w:val="0"/>
        <w:numPr>
          <w:ilvl w:val="0"/>
          <w:numId w:val="6"/>
        </w:numPr>
        <w:shd w:val="clear" w:color="auto" w:fill="FFFFFF"/>
        <w:tabs>
          <w:tab w:val="left" w:pos="1134"/>
          <w:tab w:val="left" w:pos="1276"/>
        </w:tabs>
        <w:ind w:left="0" w:firstLine="709"/>
        <w:contextualSpacing/>
        <w:rPr>
          <w:lang w:eastAsia="en-US"/>
        </w:rPr>
      </w:pPr>
      <w:r w:rsidRPr="00B35439">
        <w:rPr>
          <w:lang w:eastAsia="en-US"/>
        </w:rPr>
        <w:t>готівка в касі в обсягах не більше 3 відсотків страхових резервів;</w:t>
      </w:r>
    </w:p>
    <w:p w14:paraId="5B3E4465" w14:textId="77777777" w:rsidR="00CD3F38" w:rsidRPr="00B35439" w:rsidRDefault="00CD3F38" w:rsidP="00CD3F38">
      <w:pPr>
        <w:widowControl w:val="0"/>
        <w:shd w:val="clear" w:color="auto" w:fill="FFFFFF"/>
        <w:tabs>
          <w:tab w:val="left" w:pos="1134"/>
          <w:tab w:val="left" w:pos="1276"/>
        </w:tabs>
        <w:ind w:firstLine="709"/>
        <w:contextualSpacing/>
        <w:rPr>
          <w:lang w:eastAsia="en-US"/>
        </w:rPr>
      </w:pPr>
    </w:p>
    <w:p w14:paraId="7ED2C428" w14:textId="77777777" w:rsidR="00CD3F38" w:rsidRPr="00B35439" w:rsidRDefault="00CD3F38" w:rsidP="00CD3F38">
      <w:pPr>
        <w:widowControl w:val="0"/>
        <w:numPr>
          <w:ilvl w:val="0"/>
          <w:numId w:val="6"/>
        </w:numPr>
        <w:shd w:val="clear" w:color="auto" w:fill="FFFFFF"/>
        <w:tabs>
          <w:tab w:val="left" w:pos="1134"/>
          <w:tab w:val="left" w:pos="1276"/>
        </w:tabs>
        <w:ind w:left="0" w:firstLine="709"/>
        <w:contextualSpacing/>
        <w:rPr>
          <w:lang w:eastAsia="en-US"/>
        </w:rPr>
      </w:pPr>
      <w:r w:rsidRPr="00B35439">
        <w:rPr>
          <w:lang w:eastAsia="en-US"/>
        </w:rPr>
        <w:t xml:space="preserve">залишки коштів, сплачених страховиком до централізованих страхових резервних фондів Моторного (транспортного) страхового бюро України </w:t>
      </w:r>
      <w:r w:rsidRPr="00B35439">
        <w:t xml:space="preserve">відповідно до Закону </w:t>
      </w:r>
      <w:r w:rsidRPr="00B35439">
        <w:rPr>
          <w:lang w:eastAsia="en-US"/>
        </w:rPr>
        <w:t>про обов’язкове страхування, в обсязі не більше ніж розміри коштів, що використовуються виключно для виконання таким страховиком зобов’язань за укладеними договорами обов’язкового страхування (перестрахування) цивільно-правової відповідальності власників наземних транспортних засобів.</w:t>
      </w:r>
    </w:p>
    <w:p w14:paraId="76BC4131" w14:textId="77777777" w:rsidR="00CD3F38" w:rsidRPr="00B35439" w:rsidRDefault="00CD3F38" w:rsidP="00CD3F38">
      <w:pPr>
        <w:widowControl w:val="0"/>
        <w:shd w:val="clear" w:color="auto" w:fill="FFFFFF"/>
        <w:tabs>
          <w:tab w:val="left" w:pos="1134"/>
        </w:tabs>
        <w:ind w:firstLine="709"/>
        <w:contextualSpacing/>
      </w:pPr>
      <w:bookmarkStart w:id="200" w:name="n311"/>
      <w:bookmarkStart w:id="201" w:name="n189"/>
      <w:bookmarkEnd w:id="200"/>
      <w:bookmarkEnd w:id="201"/>
    </w:p>
    <w:p w14:paraId="2F1DEF03" w14:textId="77777777" w:rsidR="00CD3F38" w:rsidRPr="00B35439" w:rsidRDefault="00CD3F38" w:rsidP="00CD3F38">
      <w:pPr>
        <w:widowControl w:val="0"/>
        <w:numPr>
          <w:ilvl w:val="0"/>
          <w:numId w:val="4"/>
        </w:numPr>
        <w:tabs>
          <w:tab w:val="left" w:pos="1134"/>
        </w:tabs>
        <w:ind w:left="0" w:firstLine="709"/>
        <w:outlineLvl w:val="1"/>
        <w:rPr>
          <w:rFonts w:eastAsiaTheme="majorEastAsia"/>
          <w:lang w:eastAsia="en-US"/>
        </w:rPr>
      </w:pPr>
      <w:r w:rsidRPr="00B35439">
        <w:rPr>
          <w:rFonts w:eastAsiaTheme="majorEastAsia"/>
          <w:lang w:eastAsia="en-US"/>
        </w:rPr>
        <w:t>Сума прийнятних активів для цілей дотримання нормативу ризиковості операцій не включає такі активи:</w:t>
      </w:r>
    </w:p>
    <w:p w14:paraId="2A670375" w14:textId="77777777" w:rsidR="00CD3F38" w:rsidRPr="00B35439" w:rsidRDefault="00CD3F38" w:rsidP="00CD3F38">
      <w:pPr>
        <w:widowControl w:val="0"/>
        <w:shd w:val="clear" w:color="auto" w:fill="FFFFFF"/>
        <w:tabs>
          <w:tab w:val="left" w:pos="1134"/>
        </w:tabs>
        <w:ind w:firstLine="709"/>
        <w:contextualSpacing/>
        <w:rPr>
          <w:lang w:eastAsia="en-US"/>
        </w:rPr>
      </w:pPr>
    </w:p>
    <w:p w14:paraId="4CFC7047" w14:textId="77777777" w:rsidR="00CD3F38" w:rsidRPr="00B35439" w:rsidRDefault="00CD3F38" w:rsidP="00CD3F38">
      <w:pPr>
        <w:widowControl w:val="0"/>
        <w:numPr>
          <w:ilvl w:val="0"/>
          <w:numId w:val="10"/>
        </w:numPr>
        <w:shd w:val="clear" w:color="auto" w:fill="FFFFFF"/>
        <w:tabs>
          <w:tab w:val="left" w:pos="1134"/>
        </w:tabs>
        <w:ind w:left="0" w:firstLine="709"/>
        <w:contextualSpacing/>
        <w:rPr>
          <w:lang w:eastAsia="en-US"/>
        </w:rPr>
      </w:pPr>
      <w:r w:rsidRPr="00B35439">
        <w:rPr>
          <w:lang w:eastAsia="en-US"/>
        </w:rPr>
        <w:t>активи, придбані за рахунок позик (кредити, поворотна фінансова допомога, інші позикові кошти) в сумі, що не погашена на дату розрахунку величини прийнятних активів;</w:t>
      </w:r>
    </w:p>
    <w:p w14:paraId="0B6C264B" w14:textId="77777777" w:rsidR="00CD3F38" w:rsidRPr="00B35439" w:rsidRDefault="00CD3F38" w:rsidP="00CD3F38">
      <w:pPr>
        <w:widowControl w:val="0"/>
        <w:shd w:val="clear" w:color="auto" w:fill="FFFFFF"/>
        <w:tabs>
          <w:tab w:val="left" w:pos="1134"/>
        </w:tabs>
        <w:ind w:firstLine="709"/>
        <w:contextualSpacing/>
        <w:rPr>
          <w:lang w:eastAsia="en-US"/>
        </w:rPr>
      </w:pPr>
    </w:p>
    <w:p w14:paraId="4F05BE32" w14:textId="6FF8374D" w:rsidR="00CD3F38" w:rsidRPr="00B35439" w:rsidRDefault="00CD3F38" w:rsidP="00CD3F38">
      <w:pPr>
        <w:widowControl w:val="0"/>
        <w:numPr>
          <w:ilvl w:val="0"/>
          <w:numId w:val="10"/>
        </w:numPr>
        <w:shd w:val="clear" w:color="auto" w:fill="FFFFFF"/>
        <w:tabs>
          <w:tab w:val="left" w:pos="1134"/>
        </w:tabs>
        <w:ind w:left="0" w:firstLine="709"/>
        <w:contextualSpacing/>
        <w:rPr>
          <w:lang w:eastAsia="en-US"/>
        </w:rPr>
      </w:pPr>
      <w:r w:rsidRPr="00B35439">
        <w:rPr>
          <w:lang w:eastAsia="en-US"/>
        </w:rPr>
        <w:t>активи, розміщені в банку-</w:t>
      </w:r>
      <w:proofErr w:type="spellStart"/>
      <w:r w:rsidRPr="00B35439">
        <w:rPr>
          <w:lang w:eastAsia="en-US"/>
        </w:rPr>
        <w:t>резиденті</w:t>
      </w:r>
      <w:proofErr w:type="spellEnd"/>
      <w:r w:rsidRPr="00B35439">
        <w:rPr>
          <w:lang w:eastAsia="en-US"/>
        </w:rPr>
        <w:t xml:space="preserve">, який протягом останніх 6 місяців </w:t>
      </w:r>
      <w:r w:rsidRPr="00B35439">
        <w:rPr>
          <w:lang w:eastAsia="en-US"/>
        </w:rPr>
        <w:lastRenderedPageBreak/>
        <w:t xml:space="preserve">до дати розрахунку величини прийнятних активів не виконував економічні нормативи (мав одне та більше порушень), </w:t>
      </w:r>
      <w:r w:rsidR="007F4880" w:rsidRPr="00B35439">
        <w:rPr>
          <w:lang w:eastAsia="en-US"/>
        </w:rPr>
        <w:t xml:space="preserve">що </w:t>
      </w:r>
      <w:r w:rsidR="00017138" w:rsidRPr="00B35439">
        <w:rPr>
          <w:lang w:eastAsia="en-US"/>
        </w:rPr>
        <w:t>визначається</w:t>
      </w:r>
      <w:r w:rsidRPr="00B35439">
        <w:rPr>
          <w:lang w:eastAsia="en-US"/>
        </w:rPr>
        <w:t xml:space="preserve"> </w:t>
      </w:r>
      <w:r w:rsidR="007F4880" w:rsidRPr="00B35439">
        <w:rPr>
          <w:lang w:eastAsia="en-US"/>
        </w:rPr>
        <w:t>з урахуванням пункту 7 розділу ІІ цього Положення</w:t>
      </w:r>
      <w:r w:rsidRPr="00B35439">
        <w:rPr>
          <w:lang w:eastAsia="en-US"/>
        </w:rPr>
        <w:t>;</w:t>
      </w:r>
    </w:p>
    <w:p w14:paraId="2A5E71C9" w14:textId="77777777" w:rsidR="00CD3F38" w:rsidRPr="00B35439" w:rsidRDefault="00CD3F38" w:rsidP="00CD3F38">
      <w:pPr>
        <w:widowControl w:val="0"/>
        <w:shd w:val="clear" w:color="auto" w:fill="FFFFFF"/>
        <w:tabs>
          <w:tab w:val="left" w:pos="1134"/>
        </w:tabs>
        <w:ind w:firstLine="709"/>
        <w:contextualSpacing/>
        <w:rPr>
          <w:lang w:eastAsia="en-US"/>
        </w:rPr>
      </w:pPr>
    </w:p>
    <w:p w14:paraId="043FFBE6" w14:textId="77777777" w:rsidR="00CD3F38" w:rsidRPr="00B35439" w:rsidRDefault="00CD3F38" w:rsidP="00CD3F38">
      <w:pPr>
        <w:widowControl w:val="0"/>
        <w:numPr>
          <w:ilvl w:val="0"/>
          <w:numId w:val="10"/>
        </w:numPr>
        <w:shd w:val="clear" w:color="auto" w:fill="FFFFFF"/>
        <w:tabs>
          <w:tab w:val="left" w:pos="1134"/>
        </w:tabs>
        <w:ind w:left="0" w:firstLine="709"/>
        <w:contextualSpacing/>
        <w:rPr>
          <w:lang w:eastAsia="en-US"/>
        </w:rPr>
      </w:pPr>
      <w:r w:rsidRPr="00B35439">
        <w:rPr>
          <w:lang w:eastAsia="en-US"/>
        </w:rPr>
        <w:t>цінні папери із зобов’язаннями зворотного викупу;</w:t>
      </w:r>
    </w:p>
    <w:p w14:paraId="25AF4BCC" w14:textId="77777777" w:rsidR="00CD3F38" w:rsidRPr="00B35439" w:rsidRDefault="00CD3F38" w:rsidP="00CD3F38">
      <w:pPr>
        <w:widowControl w:val="0"/>
        <w:shd w:val="clear" w:color="auto" w:fill="FFFFFF"/>
        <w:tabs>
          <w:tab w:val="left" w:pos="1134"/>
        </w:tabs>
        <w:ind w:firstLine="709"/>
        <w:contextualSpacing/>
        <w:rPr>
          <w:lang w:eastAsia="en-US"/>
        </w:rPr>
      </w:pPr>
    </w:p>
    <w:p w14:paraId="50FB8F26" w14:textId="77777777" w:rsidR="00CD3F38" w:rsidRPr="00B35439" w:rsidRDefault="00CD3F38" w:rsidP="00CD3F38">
      <w:pPr>
        <w:widowControl w:val="0"/>
        <w:numPr>
          <w:ilvl w:val="0"/>
          <w:numId w:val="10"/>
        </w:numPr>
        <w:shd w:val="clear" w:color="auto" w:fill="FFFFFF"/>
        <w:tabs>
          <w:tab w:val="left" w:pos="1134"/>
        </w:tabs>
        <w:ind w:left="0" w:firstLine="709"/>
        <w:contextualSpacing/>
        <w:rPr>
          <w:lang w:eastAsia="en-US"/>
        </w:rPr>
      </w:pPr>
      <w:r w:rsidRPr="00B35439">
        <w:rPr>
          <w:lang w:eastAsia="en-US"/>
        </w:rPr>
        <w:t>активи, за якими не здійснено повної оплати їх вартості;</w:t>
      </w:r>
    </w:p>
    <w:p w14:paraId="5DAF8DED" w14:textId="77777777" w:rsidR="00CD3F38" w:rsidRPr="00B35439" w:rsidRDefault="00CD3F38" w:rsidP="00CD3F38">
      <w:pPr>
        <w:widowControl w:val="0"/>
        <w:shd w:val="clear" w:color="auto" w:fill="FFFFFF"/>
        <w:tabs>
          <w:tab w:val="left" w:pos="1134"/>
        </w:tabs>
        <w:ind w:firstLine="709"/>
        <w:contextualSpacing/>
        <w:rPr>
          <w:lang w:eastAsia="en-US"/>
        </w:rPr>
      </w:pPr>
    </w:p>
    <w:p w14:paraId="32E4B73B" w14:textId="77777777" w:rsidR="00CD3F38" w:rsidRPr="00B35439" w:rsidRDefault="00CD3F38" w:rsidP="00CD3F38">
      <w:pPr>
        <w:widowControl w:val="0"/>
        <w:numPr>
          <w:ilvl w:val="0"/>
          <w:numId w:val="10"/>
        </w:numPr>
        <w:shd w:val="clear" w:color="auto" w:fill="FFFFFF"/>
        <w:tabs>
          <w:tab w:val="left" w:pos="1134"/>
        </w:tabs>
        <w:ind w:left="0" w:firstLine="709"/>
        <w:contextualSpacing/>
        <w:rPr>
          <w:lang w:eastAsia="en-US"/>
        </w:rPr>
      </w:pPr>
      <w:r w:rsidRPr="00B35439">
        <w:rPr>
          <w:lang w:eastAsia="en-US"/>
        </w:rPr>
        <w:t>активи, отримані на умовах субординованого боргу;</w:t>
      </w:r>
    </w:p>
    <w:p w14:paraId="0B562F20" w14:textId="77777777" w:rsidR="00CD3F38" w:rsidRPr="00B35439" w:rsidRDefault="00CD3F38" w:rsidP="00CD3F38">
      <w:pPr>
        <w:widowControl w:val="0"/>
        <w:shd w:val="clear" w:color="auto" w:fill="FFFFFF"/>
        <w:tabs>
          <w:tab w:val="left" w:pos="1134"/>
        </w:tabs>
        <w:ind w:firstLine="709"/>
        <w:contextualSpacing/>
        <w:rPr>
          <w:lang w:eastAsia="en-US"/>
        </w:rPr>
      </w:pPr>
    </w:p>
    <w:p w14:paraId="045A8631" w14:textId="77777777" w:rsidR="00CD3F38" w:rsidRPr="00B35439" w:rsidRDefault="00CD3F38" w:rsidP="00CD3F38">
      <w:pPr>
        <w:widowControl w:val="0"/>
        <w:numPr>
          <w:ilvl w:val="0"/>
          <w:numId w:val="10"/>
        </w:numPr>
        <w:shd w:val="clear" w:color="auto" w:fill="FFFFFF"/>
        <w:tabs>
          <w:tab w:val="left" w:pos="1134"/>
        </w:tabs>
        <w:ind w:left="0" w:firstLine="709"/>
        <w:contextualSpacing/>
        <w:rPr>
          <w:lang w:eastAsia="en-US"/>
        </w:rPr>
      </w:pPr>
      <w:r w:rsidRPr="00B35439">
        <w:rPr>
          <w:lang w:eastAsia="en-US"/>
        </w:rPr>
        <w:t>помилково перераховані кошти на рахунок страховика;</w:t>
      </w:r>
    </w:p>
    <w:p w14:paraId="1FDAB5AF" w14:textId="77777777" w:rsidR="00CD3F38" w:rsidRPr="00B35439" w:rsidRDefault="00CD3F38" w:rsidP="00CD3F38">
      <w:pPr>
        <w:widowControl w:val="0"/>
        <w:shd w:val="clear" w:color="auto" w:fill="FFFFFF"/>
        <w:tabs>
          <w:tab w:val="left" w:pos="1134"/>
        </w:tabs>
        <w:ind w:firstLine="709"/>
        <w:contextualSpacing/>
        <w:rPr>
          <w:lang w:eastAsia="en-US"/>
        </w:rPr>
      </w:pPr>
    </w:p>
    <w:p w14:paraId="2478B0AD" w14:textId="1F028ED6" w:rsidR="00CD3F38" w:rsidRPr="00B35439" w:rsidRDefault="00CD3F38" w:rsidP="00CD3F38">
      <w:pPr>
        <w:widowControl w:val="0"/>
        <w:numPr>
          <w:ilvl w:val="0"/>
          <w:numId w:val="10"/>
        </w:numPr>
        <w:shd w:val="clear" w:color="auto" w:fill="FFFFFF"/>
        <w:tabs>
          <w:tab w:val="left" w:pos="1134"/>
        </w:tabs>
        <w:ind w:left="0" w:firstLine="709"/>
        <w:contextualSpacing/>
        <w:rPr>
          <w:lang w:eastAsia="en-US"/>
        </w:rPr>
      </w:pPr>
      <w:r w:rsidRPr="00B35439">
        <w:rPr>
          <w:lang w:eastAsia="en-US"/>
        </w:rPr>
        <w:t>суми страхових платежів, які підлягають поверненню страх</w:t>
      </w:r>
      <w:r w:rsidR="00B35439" w:rsidRPr="00B35439">
        <w:rPr>
          <w:lang w:eastAsia="en-US"/>
        </w:rPr>
        <w:t xml:space="preserve">увальнику (перестрахувальнику) </w:t>
      </w:r>
      <w:r w:rsidRPr="00B35439">
        <w:rPr>
          <w:lang w:eastAsia="en-US"/>
        </w:rPr>
        <w:t>відповідно до умов договору або законодавства України;</w:t>
      </w:r>
    </w:p>
    <w:p w14:paraId="451E95DE" w14:textId="77777777" w:rsidR="00CD3F38" w:rsidRPr="00B35439" w:rsidRDefault="00CD3F38" w:rsidP="00CD3F38">
      <w:pPr>
        <w:widowControl w:val="0"/>
        <w:shd w:val="clear" w:color="auto" w:fill="FFFFFF"/>
        <w:tabs>
          <w:tab w:val="left" w:pos="1134"/>
        </w:tabs>
        <w:ind w:firstLine="709"/>
        <w:contextualSpacing/>
        <w:rPr>
          <w:lang w:eastAsia="en-US"/>
        </w:rPr>
      </w:pPr>
    </w:p>
    <w:p w14:paraId="41684841" w14:textId="77777777" w:rsidR="00CD3F38" w:rsidRPr="00B35439" w:rsidRDefault="00CD3F38" w:rsidP="00CD3F38">
      <w:pPr>
        <w:widowControl w:val="0"/>
        <w:numPr>
          <w:ilvl w:val="0"/>
          <w:numId w:val="10"/>
        </w:numPr>
        <w:shd w:val="clear" w:color="auto" w:fill="FFFFFF"/>
        <w:tabs>
          <w:tab w:val="left" w:pos="1134"/>
        </w:tabs>
        <w:ind w:left="0" w:firstLine="709"/>
        <w:contextualSpacing/>
        <w:rPr>
          <w:lang w:eastAsia="en-US"/>
        </w:rPr>
      </w:pPr>
      <w:r w:rsidRPr="00B35439">
        <w:rPr>
          <w:lang w:eastAsia="en-US"/>
        </w:rPr>
        <w:t xml:space="preserve">права вимоги до </w:t>
      </w:r>
      <w:proofErr w:type="spellStart"/>
      <w:r w:rsidRPr="00B35439">
        <w:rPr>
          <w:lang w:eastAsia="en-US"/>
        </w:rPr>
        <w:t>перестраховиків</w:t>
      </w:r>
      <w:proofErr w:type="spellEnd"/>
      <w:r w:rsidRPr="00B35439">
        <w:rPr>
          <w:lang w:eastAsia="en-US"/>
        </w:rPr>
        <w:t>-нерезидентів за укладеними договорами перестрахування ризиків, пов’язаних із дожиттям застрахованої особи, якщо це передбачено договором, до закінчення дії договору страхування та/або досягнення застрахованою особою визначеного договором віку, крім ризиків, які пов’язані зі смертю застрахованої особи в будь-якому випадку та/або з нещасним випадком, що трапився, та/або в разі стійкої непрацездатності або інвалідності внаслідок хвороби застрахованої особи.</w:t>
      </w:r>
    </w:p>
    <w:p w14:paraId="58A8C0F3" w14:textId="77777777" w:rsidR="00CD3F38" w:rsidRPr="00B35439" w:rsidRDefault="00CD3F38" w:rsidP="00CD3F38">
      <w:pPr>
        <w:widowControl w:val="0"/>
        <w:shd w:val="clear" w:color="auto" w:fill="FFFFFF"/>
        <w:tabs>
          <w:tab w:val="left" w:pos="1134"/>
        </w:tabs>
        <w:ind w:firstLine="709"/>
        <w:rPr>
          <w:lang w:eastAsia="en-US"/>
        </w:rPr>
      </w:pPr>
      <w:bookmarkStart w:id="202" w:name="n190"/>
      <w:bookmarkStart w:id="203" w:name="n191"/>
      <w:bookmarkStart w:id="204" w:name="n192"/>
      <w:bookmarkStart w:id="205" w:name="n193"/>
      <w:bookmarkStart w:id="206" w:name="n194"/>
      <w:bookmarkStart w:id="207" w:name="n195"/>
      <w:bookmarkStart w:id="208" w:name="n196"/>
      <w:bookmarkEnd w:id="202"/>
      <w:bookmarkEnd w:id="203"/>
      <w:bookmarkEnd w:id="204"/>
      <w:bookmarkEnd w:id="205"/>
      <w:bookmarkEnd w:id="206"/>
      <w:bookmarkEnd w:id="207"/>
      <w:bookmarkEnd w:id="208"/>
    </w:p>
    <w:p w14:paraId="5CFF1439" w14:textId="77777777" w:rsidR="00CD3F38" w:rsidRPr="00B35439" w:rsidRDefault="00CD3F38" w:rsidP="00CD3F38">
      <w:pPr>
        <w:widowControl w:val="0"/>
        <w:numPr>
          <w:ilvl w:val="0"/>
          <w:numId w:val="3"/>
        </w:numPr>
        <w:shd w:val="clear" w:color="auto" w:fill="FFFFFF"/>
        <w:tabs>
          <w:tab w:val="left" w:pos="1134"/>
          <w:tab w:val="left" w:pos="1276"/>
        </w:tabs>
        <w:ind w:left="0" w:firstLine="709"/>
        <w:contextualSpacing/>
        <w:jc w:val="center"/>
        <w:outlineLvl w:val="0"/>
        <w:rPr>
          <w:lang w:eastAsia="en-US"/>
        </w:rPr>
      </w:pPr>
      <w:bookmarkStart w:id="209" w:name="n197"/>
      <w:bookmarkEnd w:id="209"/>
      <w:r w:rsidRPr="00B35439">
        <w:rPr>
          <w:bCs/>
          <w:lang w:eastAsia="en-US"/>
        </w:rPr>
        <w:t>Норматив якості активів</w:t>
      </w:r>
    </w:p>
    <w:p w14:paraId="40B7C8C4" w14:textId="77777777" w:rsidR="00CD3F38" w:rsidRPr="00B35439" w:rsidRDefault="00CD3F38" w:rsidP="00CD3F38">
      <w:pPr>
        <w:widowControl w:val="0"/>
        <w:shd w:val="clear" w:color="auto" w:fill="FFFFFF"/>
        <w:tabs>
          <w:tab w:val="left" w:pos="1134"/>
          <w:tab w:val="left" w:pos="1276"/>
        </w:tabs>
        <w:ind w:firstLine="709"/>
        <w:rPr>
          <w:lang w:eastAsia="en-US"/>
        </w:rPr>
      </w:pPr>
    </w:p>
    <w:p w14:paraId="659DDCEB" w14:textId="41BE4D87" w:rsidR="00CD3F38" w:rsidRPr="00B35439" w:rsidRDefault="00CD3F38" w:rsidP="00CD3F38">
      <w:pPr>
        <w:widowControl w:val="0"/>
        <w:numPr>
          <w:ilvl w:val="0"/>
          <w:numId w:val="4"/>
        </w:numPr>
        <w:tabs>
          <w:tab w:val="left" w:pos="1134"/>
        </w:tabs>
        <w:ind w:left="0" w:firstLine="709"/>
        <w:outlineLvl w:val="1"/>
        <w:rPr>
          <w:rFonts w:eastAsiaTheme="majorEastAsia" w:cstheme="majorBidi"/>
          <w:szCs w:val="26"/>
        </w:rPr>
      </w:pPr>
      <w:bookmarkStart w:id="210" w:name="n198"/>
      <w:bookmarkEnd w:id="210"/>
      <w:r w:rsidRPr="00B35439">
        <w:rPr>
          <w:rFonts w:eastAsiaTheme="majorEastAsia"/>
          <w:lang w:eastAsia="en-US"/>
        </w:rPr>
        <w:t>Норматив</w:t>
      </w:r>
      <w:r w:rsidRPr="00B35439">
        <w:rPr>
          <w:rFonts w:eastAsiaTheme="majorEastAsia" w:cstheme="majorBidi"/>
          <w:szCs w:val="26"/>
        </w:rPr>
        <w:t xml:space="preserve"> якості активів</w:t>
      </w:r>
      <w:r w:rsidRPr="00B35439">
        <w:rPr>
          <w:rFonts w:eastAsiaTheme="majorEastAsia"/>
          <w:lang w:eastAsia="en-US"/>
        </w:rPr>
        <w:t xml:space="preserve"> </w:t>
      </w:r>
      <w:r w:rsidR="00407D24" w:rsidRPr="00B35439">
        <w:rPr>
          <w:rFonts w:eastAsiaTheme="majorEastAsia"/>
          <w:lang w:eastAsia="en-US"/>
        </w:rPr>
        <w:t xml:space="preserve">на будь-яку дату </w:t>
      </w:r>
      <w:r w:rsidRPr="00B35439">
        <w:rPr>
          <w:rFonts w:eastAsiaTheme="majorEastAsia"/>
          <w:lang w:eastAsia="en-US"/>
        </w:rPr>
        <w:t>визначається наступним чином</w:t>
      </w:r>
      <w:r w:rsidRPr="00B35439">
        <w:rPr>
          <w:rFonts w:eastAsiaTheme="majorEastAsia" w:cstheme="majorBidi"/>
          <w:szCs w:val="26"/>
        </w:rPr>
        <w:t>:</w:t>
      </w:r>
    </w:p>
    <w:p w14:paraId="74311BC7" w14:textId="77777777" w:rsidR="00CD3F38" w:rsidRPr="00B35439" w:rsidRDefault="00CD3F38" w:rsidP="00CD3F38">
      <w:pPr>
        <w:widowControl w:val="0"/>
        <w:shd w:val="clear" w:color="auto" w:fill="FFFFFF"/>
        <w:tabs>
          <w:tab w:val="left" w:pos="1134"/>
        </w:tabs>
        <w:ind w:firstLine="709"/>
        <w:contextualSpacing/>
        <w:rPr>
          <w:lang w:eastAsia="en-US"/>
        </w:rPr>
      </w:pPr>
    </w:p>
    <w:p w14:paraId="1B039D87" w14:textId="77777777" w:rsidR="00CD3F38" w:rsidRPr="00B35439" w:rsidRDefault="00CD3F38" w:rsidP="00CD3F38">
      <w:pPr>
        <w:widowControl w:val="0"/>
        <w:numPr>
          <w:ilvl w:val="0"/>
          <w:numId w:val="7"/>
        </w:numPr>
        <w:shd w:val="clear" w:color="auto" w:fill="FFFFFF"/>
        <w:tabs>
          <w:tab w:val="left" w:pos="1134"/>
          <w:tab w:val="left" w:pos="1276"/>
        </w:tabs>
        <w:ind w:left="0" w:firstLine="709"/>
        <w:contextualSpacing/>
        <w:rPr>
          <w:lang w:eastAsia="en-US"/>
        </w:rPr>
      </w:pPr>
      <w:bookmarkStart w:id="211" w:name="n312"/>
      <w:bookmarkEnd w:id="211"/>
      <w:r w:rsidRPr="00B35439">
        <w:rPr>
          <w:lang w:eastAsia="en-US"/>
        </w:rPr>
        <w:t>для страховика, який отримав ліцензію на провадження діяльності із страхування життя, – у розмірі суми 40 відсотків страхових резервів за винятком резерву заявлених, але не врегульованих збитків та всього обсягу кредиторської заборгованості за страховими виплатами;</w:t>
      </w:r>
    </w:p>
    <w:p w14:paraId="74BEFDCF" w14:textId="77777777" w:rsidR="00CD3F38" w:rsidRPr="00B35439" w:rsidRDefault="00CD3F38" w:rsidP="00CD3F38">
      <w:pPr>
        <w:widowControl w:val="0"/>
        <w:shd w:val="clear" w:color="auto" w:fill="FFFFFF"/>
        <w:tabs>
          <w:tab w:val="left" w:pos="1134"/>
          <w:tab w:val="left" w:pos="1276"/>
        </w:tabs>
        <w:ind w:firstLine="709"/>
        <w:contextualSpacing/>
        <w:rPr>
          <w:lang w:eastAsia="en-US"/>
        </w:rPr>
      </w:pPr>
    </w:p>
    <w:p w14:paraId="5E1BF020" w14:textId="77777777" w:rsidR="00CD3F38" w:rsidRPr="00B35439" w:rsidRDefault="00CD3F38" w:rsidP="00CD3F38">
      <w:pPr>
        <w:widowControl w:val="0"/>
        <w:numPr>
          <w:ilvl w:val="0"/>
          <w:numId w:val="7"/>
        </w:numPr>
        <w:shd w:val="clear" w:color="auto" w:fill="FFFFFF"/>
        <w:tabs>
          <w:tab w:val="left" w:pos="1134"/>
          <w:tab w:val="left" w:pos="1276"/>
        </w:tabs>
        <w:ind w:left="0" w:firstLine="709"/>
        <w:contextualSpacing/>
        <w:rPr>
          <w:lang w:eastAsia="en-US"/>
        </w:rPr>
      </w:pPr>
      <w:bookmarkStart w:id="212" w:name="n313"/>
      <w:bookmarkEnd w:id="212"/>
      <w:r w:rsidRPr="00B35439">
        <w:rPr>
          <w:lang w:eastAsia="en-US"/>
        </w:rPr>
        <w:t>для страховика, який отримав ліцензію на провадження діяльності за видами страхування іншими, ніж страхування життя:</w:t>
      </w:r>
    </w:p>
    <w:p w14:paraId="70D7D443" w14:textId="77777777" w:rsidR="00CD3F38" w:rsidRPr="00B35439" w:rsidRDefault="00CD3F38" w:rsidP="00CD3F38">
      <w:pPr>
        <w:widowControl w:val="0"/>
        <w:shd w:val="clear" w:color="auto" w:fill="FFFFFF"/>
        <w:tabs>
          <w:tab w:val="left" w:pos="1134"/>
        </w:tabs>
        <w:ind w:firstLine="709"/>
        <w:rPr>
          <w:lang w:eastAsia="en-US"/>
        </w:rPr>
      </w:pPr>
      <w:bookmarkStart w:id="213" w:name="n314"/>
      <w:bookmarkEnd w:id="213"/>
      <w:r w:rsidRPr="00B35439">
        <w:rPr>
          <w:lang w:eastAsia="en-US"/>
        </w:rPr>
        <w:t>якщо страховик отримав ліцензію на провадження діяльності хоча б за одним з видів обов’язкового страхування – у розмірі суми 40 відсотків страхових резервів за винятком резерву заявлених, але не виплачених збитків та всього обсягу кредиторської заборгованості за страховими виплатами (</w:t>
      </w:r>
      <w:proofErr w:type="spellStart"/>
      <w:r w:rsidRPr="00B35439">
        <w:rPr>
          <w:lang w:eastAsia="en-US"/>
        </w:rPr>
        <w:t>відшкодуваннями</w:t>
      </w:r>
      <w:proofErr w:type="spellEnd"/>
      <w:r w:rsidRPr="00B35439">
        <w:rPr>
          <w:lang w:eastAsia="en-US"/>
        </w:rPr>
        <w:t>);</w:t>
      </w:r>
    </w:p>
    <w:p w14:paraId="22F709F9" w14:textId="77777777" w:rsidR="00CD3F38" w:rsidRPr="00B35439" w:rsidRDefault="00CD3F38" w:rsidP="00CD3F38">
      <w:pPr>
        <w:widowControl w:val="0"/>
        <w:shd w:val="clear" w:color="auto" w:fill="FFFFFF"/>
        <w:tabs>
          <w:tab w:val="left" w:pos="1134"/>
        </w:tabs>
        <w:ind w:firstLine="709"/>
        <w:rPr>
          <w:lang w:eastAsia="en-US"/>
        </w:rPr>
      </w:pPr>
      <w:bookmarkStart w:id="214" w:name="n315"/>
      <w:bookmarkEnd w:id="214"/>
      <w:r w:rsidRPr="00B35439">
        <w:rPr>
          <w:lang w:eastAsia="en-US"/>
        </w:rPr>
        <w:t xml:space="preserve">якщо страховик отримав ліцензію на провадження діяльності тільки за видами добровільного страхування – у розмірі суми 20 відсотків страхових </w:t>
      </w:r>
      <w:r w:rsidRPr="00B35439">
        <w:rPr>
          <w:lang w:eastAsia="en-US"/>
        </w:rPr>
        <w:lastRenderedPageBreak/>
        <w:t>резервів за винятком резерву заявлених, але не виплачених збитків та всього обсягу кредиторської заборгованості за страховими виплатами (</w:t>
      </w:r>
      <w:proofErr w:type="spellStart"/>
      <w:r w:rsidRPr="00B35439">
        <w:rPr>
          <w:lang w:eastAsia="en-US"/>
        </w:rPr>
        <w:t>відшкодуваннями</w:t>
      </w:r>
      <w:proofErr w:type="spellEnd"/>
      <w:r w:rsidRPr="00B35439">
        <w:rPr>
          <w:lang w:eastAsia="en-US"/>
        </w:rPr>
        <w:t>).</w:t>
      </w:r>
    </w:p>
    <w:p w14:paraId="7A466434" w14:textId="77777777" w:rsidR="00CD3F38" w:rsidRPr="00B35439" w:rsidRDefault="00CD3F38" w:rsidP="00CD3F38">
      <w:pPr>
        <w:widowControl w:val="0"/>
        <w:shd w:val="clear" w:color="auto" w:fill="FFFFFF"/>
        <w:tabs>
          <w:tab w:val="left" w:pos="1134"/>
        </w:tabs>
        <w:ind w:firstLine="709"/>
        <w:rPr>
          <w:lang w:eastAsia="en-US"/>
        </w:rPr>
      </w:pPr>
      <w:bookmarkStart w:id="215" w:name="n316"/>
      <w:bookmarkEnd w:id="215"/>
    </w:p>
    <w:p w14:paraId="797F1B6B" w14:textId="53A6D5EF" w:rsidR="00CD3F38" w:rsidRPr="00B35439" w:rsidRDefault="00CD3F38" w:rsidP="00CD3F38">
      <w:pPr>
        <w:widowControl w:val="0"/>
        <w:numPr>
          <w:ilvl w:val="0"/>
          <w:numId w:val="4"/>
        </w:numPr>
        <w:tabs>
          <w:tab w:val="left" w:pos="1134"/>
        </w:tabs>
        <w:ind w:left="0" w:firstLine="709"/>
        <w:outlineLvl w:val="1"/>
        <w:rPr>
          <w:rFonts w:eastAsiaTheme="majorEastAsia"/>
          <w:sz w:val="26"/>
          <w:szCs w:val="26"/>
          <w:lang w:eastAsia="en-US"/>
        </w:rPr>
      </w:pPr>
      <w:r w:rsidRPr="00B35439">
        <w:rPr>
          <w:rFonts w:eastAsiaTheme="majorEastAsia"/>
          <w:lang w:eastAsia="en-US"/>
        </w:rPr>
        <w:t xml:space="preserve">Сума прийнятних активів </w:t>
      </w:r>
      <w:r w:rsidRPr="00B35439">
        <w:rPr>
          <w:rFonts w:eastAsiaTheme="majorEastAsia" w:cstheme="majorBidi"/>
          <w:szCs w:val="26"/>
        </w:rPr>
        <w:t xml:space="preserve">з урахуванням вимог та обмежень, установлених у розділі </w:t>
      </w:r>
      <w:r w:rsidRPr="00B35439">
        <w:rPr>
          <w:rFonts w:eastAsiaTheme="majorEastAsia"/>
          <w:lang w:eastAsia="en-US"/>
        </w:rPr>
        <w:t>ІІ, пунктах 2</w:t>
      </w:r>
      <w:r w:rsidR="00B6012A" w:rsidRPr="00B35439">
        <w:rPr>
          <w:rFonts w:eastAsiaTheme="majorEastAsia"/>
          <w:lang w:eastAsia="en-US"/>
        </w:rPr>
        <w:t>8</w:t>
      </w:r>
      <w:r w:rsidRPr="00B35439">
        <w:rPr>
          <w:rFonts w:eastAsiaTheme="majorEastAsia"/>
          <w:lang w:eastAsia="en-US"/>
        </w:rPr>
        <w:t>, 2</w:t>
      </w:r>
      <w:r w:rsidR="00B6012A" w:rsidRPr="00B35439">
        <w:rPr>
          <w:rFonts w:eastAsiaTheme="majorEastAsia"/>
          <w:lang w:eastAsia="en-US"/>
        </w:rPr>
        <w:t>9</w:t>
      </w:r>
      <w:r w:rsidRPr="00B35439">
        <w:rPr>
          <w:rFonts w:eastAsiaTheme="majorEastAsia"/>
          <w:lang w:eastAsia="en-US"/>
        </w:rPr>
        <w:t xml:space="preserve"> </w:t>
      </w:r>
      <w:r w:rsidRPr="00B35439">
        <w:rPr>
          <w:rFonts w:eastAsiaTheme="majorEastAsia" w:cstheme="majorBidi"/>
          <w:szCs w:val="26"/>
        </w:rPr>
        <w:t>розділу ІV</w:t>
      </w:r>
      <w:r w:rsidRPr="00B35439">
        <w:rPr>
          <w:rFonts w:eastAsiaTheme="majorEastAsia"/>
          <w:lang w:eastAsia="en-US"/>
        </w:rPr>
        <w:t>, пункті 3</w:t>
      </w:r>
      <w:r w:rsidR="00B6012A" w:rsidRPr="00B35439">
        <w:rPr>
          <w:rFonts w:eastAsiaTheme="majorEastAsia"/>
          <w:lang w:eastAsia="en-US"/>
        </w:rPr>
        <w:t>2</w:t>
      </w:r>
      <w:r w:rsidRPr="00B35439">
        <w:rPr>
          <w:rFonts w:eastAsiaTheme="majorEastAsia"/>
          <w:lang w:eastAsia="en-US"/>
        </w:rPr>
        <w:t xml:space="preserve"> розділу V</w:t>
      </w:r>
      <w:r w:rsidRPr="00B35439">
        <w:rPr>
          <w:rFonts w:eastAsiaTheme="majorEastAsia" w:cstheme="majorBidi"/>
          <w:szCs w:val="26"/>
        </w:rPr>
        <w:t xml:space="preserve"> цього Положення</w:t>
      </w:r>
      <w:r w:rsidRPr="00B35439">
        <w:rPr>
          <w:rFonts w:eastAsiaTheme="majorEastAsia"/>
          <w:lang w:eastAsia="en-US"/>
        </w:rPr>
        <w:t>, на будь-яку дату має бути не меншою нормативу якості активів</w:t>
      </w:r>
      <w:r w:rsidRPr="00B35439">
        <w:rPr>
          <w:rFonts w:eastAsiaTheme="majorEastAsia"/>
          <w:sz w:val="26"/>
          <w:szCs w:val="26"/>
          <w:lang w:eastAsia="en-US"/>
        </w:rPr>
        <w:t>.</w:t>
      </w:r>
    </w:p>
    <w:p w14:paraId="1C4BD3E1" w14:textId="77777777" w:rsidR="00CD3F38" w:rsidRPr="00B35439" w:rsidRDefault="00CD3F38" w:rsidP="00CD3F38">
      <w:pPr>
        <w:widowControl w:val="0"/>
        <w:tabs>
          <w:tab w:val="left" w:pos="1134"/>
        </w:tabs>
        <w:ind w:firstLine="709"/>
        <w:rPr>
          <w:lang w:eastAsia="en-US"/>
        </w:rPr>
      </w:pPr>
    </w:p>
    <w:p w14:paraId="240C29E5" w14:textId="796B0922" w:rsidR="00CD3F38" w:rsidRPr="00B35439" w:rsidRDefault="00CD3F38" w:rsidP="00CD3F38">
      <w:pPr>
        <w:widowControl w:val="0"/>
        <w:numPr>
          <w:ilvl w:val="0"/>
          <w:numId w:val="4"/>
        </w:numPr>
        <w:tabs>
          <w:tab w:val="left" w:pos="1134"/>
        </w:tabs>
        <w:ind w:left="0" w:firstLine="709"/>
        <w:outlineLvl w:val="1"/>
        <w:rPr>
          <w:rFonts w:eastAsiaTheme="majorEastAsia" w:cstheme="majorBidi"/>
          <w:szCs w:val="26"/>
        </w:rPr>
      </w:pPr>
      <w:bookmarkStart w:id="216" w:name="n231"/>
      <w:bookmarkStart w:id="217" w:name="n203"/>
      <w:bookmarkEnd w:id="216"/>
      <w:bookmarkEnd w:id="217"/>
      <w:r w:rsidRPr="00B35439">
        <w:rPr>
          <w:rFonts w:eastAsiaTheme="majorEastAsia"/>
          <w:lang w:eastAsia="en-US"/>
        </w:rPr>
        <w:t xml:space="preserve">Сума прийнятних активів, </w:t>
      </w:r>
      <w:r w:rsidRPr="00B35439">
        <w:rPr>
          <w:rFonts w:eastAsiaTheme="majorEastAsia" w:cstheme="majorBidi"/>
          <w:szCs w:val="26"/>
        </w:rPr>
        <w:t xml:space="preserve">установлених у розділі </w:t>
      </w:r>
      <w:r w:rsidRPr="00B35439">
        <w:rPr>
          <w:rFonts w:eastAsiaTheme="majorEastAsia"/>
          <w:lang w:eastAsia="en-US"/>
        </w:rPr>
        <w:t>ІІ, пунктах 2</w:t>
      </w:r>
      <w:r w:rsidR="00B6012A" w:rsidRPr="00B35439">
        <w:rPr>
          <w:rFonts w:eastAsiaTheme="majorEastAsia"/>
          <w:lang w:eastAsia="en-US"/>
        </w:rPr>
        <w:t>8</w:t>
      </w:r>
      <w:r w:rsidRPr="00B35439">
        <w:rPr>
          <w:rFonts w:eastAsiaTheme="majorEastAsia"/>
          <w:lang w:eastAsia="en-US"/>
        </w:rPr>
        <w:t>, 2</w:t>
      </w:r>
      <w:r w:rsidR="00B6012A" w:rsidRPr="00B35439">
        <w:rPr>
          <w:rFonts w:eastAsiaTheme="majorEastAsia"/>
          <w:lang w:eastAsia="en-US"/>
        </w:rPr>
        <w:t>9</w:t>
      </w:r>
      <w:r w:rsidRPr="00B35439">
        <w:rPr>
          <w:rFonts w:eastAsiaTheme="majorEastAsia"/>
          <w:lang w:eastAsia="en-US"/>
        </w:rPr>
        <w:t xml:space="preserve"> </w:t>
      </w:r>
      <w:r w:rsidRPr="00B35439">
        <w:rPr>
          <w:rFonts w:eastAsiaTheme="majorEastAsia" w:cstheme="majorBidi"/>
          <w:szCs w:val="26"/>
        </w:rPr>
        <w:t>розділу ІV цього Положення</w:t>
      </w:r>
      <w:r w:rsidRPr="00B35439">
        <w:rPr>
          <w:rFonts w:eastAsiaTheme="majorEastAsia"/>
          <w:lang w:eastAsia="en-US"/>
        </w:rPr>
        <w:t>, для цілей дотримання нормативу якості активів включає наступні прийнятні</w:t>
      </w:r>
      <w:r w:rsidRPr="00B35439">
        <w:rPr>
          <w:rFonts w:eastAsiaTheme="majorEastAsia" w:cstheme="majorBidi"/>
          <w:szCs w:val="26"/>
        </w:rPr>
        <w:t xml:space="preserve"> активи:</w:t>
      </w:r>
    </w:p>
    <w:p w14:paraId="01AFF0CA" w14:textId="77777777" w:rsidR="00CD3F38" w:rsidRPr="00B35439" w:rsidRDefault="00CD3F38" w:rsidP="00CD3F38">
      <w:pPr>
        <w:widowControl w:val="0"/>
        <w:shd w:val="clear" w:color="auto" w:fill="FFFFFF"/>
        <w:tabs>
          <w:tab w:val="left" w:pos="1134"/>
        </w:tabs>
        <w:ind w:firstLine="709"/>
        <w:rPr>
          <w:lang w:eastAsia="en-US"/>
        </w:rPr>
      </w:pPr>
      <w:bookmarkStart w:id="218" w:name="n204"/>
      <w:bookmarkEnd w:id="218"/>
    </w:p>
    <w:p w14:paraId="55B52A82" w14:textId="77777777" w:rsidR="00CD3F38" w:rsidRPr="00B35439" w:rsidRDefault="00CD3F38" w:rsidP="00CD3F38">
      <w:pPr>
        <w:widowControl w:val="0"/>
        <w:numPr>
          <w:ilvl w:val="0"/>
          <w:numId w:val="12"/>
        </w:numPr>
        <w:shd w:val="clear" w:color="auto" w:fill="FFFFFF"/>
        <w:tabs>
          <w:tab w:val="left" w:pos="1134"/>
        </w:tabs>
        <w:ind w:left="0" w:firstLine="709"/>
        <w:contextualSpacing/>
        <w:rPr>
          <w:lang w:eastAsia="en-US"/>
        </w:rPr>
      </w:pPr>
      <w:r w:rsidRPr="00B35439">
        <w:rPr>
          <w:lang w:eastAsia="en-US"/>
        </w:rPr>
        <w:t>цінні папери, емітентом яких є держава, право власності страховика на які підтверджено документально відповідно до законодавства України;</w:t>
      </w:r>
    </w:p>
    <w:p w14:paraId="222C8EC1" w14:textId="77777777" w:rsidR="00CD3F38" w:rsidRPr="00B35439" w:rsidRDefault="00CD3F38" w:rsidP="00CD3F38">
      <w:pPr>
        <w:widowControl w:val="0"/>
        <w:shd w:val="clear" w:color="auto" w:fill="FFFFFF"/>
        <w:tabs>
          <w:tab w:val="left" w:pos="1134"/>
        </w:tabs>
        <w:ind w:firstLine="709"/>
        <w:rPr>
          <w:lang w:eastAsia="en-US"/>
        </w:rPr>
      </w:pPr>
      <w:bookmarkStart w:id="219" w:name="n318"/>
      <w:bookmarkEnd w:id="219"/>
    </w:p>
    <w:p w14:paraId="226D3E35" w14:textId="31756806" w:rsidR="00CD3F38" w:rsidRPr="00B35439" w:rsidRDefault="00CD3F38" w:rsidP="00CD3F38">
      <w:pPr>
        <w:widowControl w:val="0"/>
        <w:numPr>
          <w:ilvl w:val="0"/>
          <w:numId w:val="12"/>
        </w:numPr>
        <w:shd w:val="clear" w:color="auto" w:fill="FFFFFF"/>
        <w:tabs>
          <w:tab w:val="left" w:pos="1134"/>
        </w:tabs>
        <w:ind w:left="0" w:firstLine="709"/>
        <w:contextualSpacing/>
        <w:rPr>
          <w:lang w:eastAsia="en-US"/>
        </w:rPr>
      </w:pPr>
      <w:r w:rsidRPr="00B35439">
        <w:rPr>
          <w:lang w:eastAsia="en-US"/>
        </w:rPr>
        <w:t>грошові кошти на поточних рахунках, банківські вклади (депозити) та кошти на рахунках умовного зберігання (</w:t>
      </w:r>
      <w:proofErr w:type="spellStart"/>
      <w:r w:rsidRPr="00B35439">
        <w:rPr>
          <w:lang w:eastAsia="en-US"/>
        </w:rPr>
        <w:t>ескроу</w:t>
      </w:r>
      <w:proofErr w:type="spellEnd"/>
      <w:r w:rsidRPr="00B35439">
        <w:rPr>
          <w:lang w:eastAsia="en-US"/>
        </w:rPr>
        <w:t>) в банку-</w:t>
      </w:r>
      <w:proofErr w:type="spellStart"/>
      <w:r w:rsidRPr="00B35439">
        <w:rPr>
          <w:lang w:eastAsia="en-US"/>
        </w:rPr>
        <w:t>резиденті</w:t>
      </w:r>
      <w:proofErr w:type="spellEnd"/>
      <w:r w:rsidRPr="00B35439">
        <w:rPr>
          <w:lang w:eastAsia="en-US"/>
        </w:rPr>
        <w:t xml:space="preserve">, який протягом останніх 6 місяців до дати розрахунку величини прийнятних активів виконував усі економічні нормативи, </w:t>
      </w:r>
      <w:r w:rsidR="00017138" w:rsidRPr="00B35439">
        <w:rPr>
          <w:lang w:eastAsia="en-US"/>
        </w:rPr>
        <w:t>що визначається страховиком з урахуванням пункту 7 розділу ІІ цього Положення</w:t>
      </w:r>
      <w:r w:rsidRPr="00B35439">
        <w:rPr>
          <w:lang w:eastAsia="en-US"/>
        </w:rPr>
        <w:t>;</w:t>
      </w:r>
    </w:p>
    <w:p w14:paraId="53F844A7" w14:textId="77777777" w:rsidR="00CD3F38" w:rsidRPr="00B35439" w:rsidRDefault="00CD3F38" w:rsidP="00CD3F38">
      <w:pPr>
        <w:widowControl w:val="0"/>
        <w:shd w:val="clear" w:color="auto" w:fill="FFFFFF"/>
        <w:tabs>
          <w:tab w:val="left" w:pos="1134"/>
        </w:tabs>
        <w:ind w:firstLine="709"/>
        <w:contextualSpacing/>
        <w:rPr>
          <w:lang w:eastAsia="en-US"/>
        </w:rPr>
      </w:pPr>
      <w:bookmarkStart w:id="220" w:name="n317"/>
      <w:bookmarkStart w:id="221" w:name="n206"/>
      <w:bookmarkEnd w:id="220"/>
      <w:bookmarkEnd w:id="221"/>
    </w:p>
    <w:p w14:paraId="766EACDB" w14:textId="0024840D" w:rsidR="00CD3F38" w:rsidRPr="00B35439" w:rsidRDefault="00CD3F38" w:rsidP="00CD3F38">
      <w:pPr>
        <w:widowControl w:val="0"/>
        <w:numPr>
          <w:ilvl w:val="0"/>
          <w:numId w:val="12"/>
        </w:numPr>
        <w:shd w:val="clear" w:color="auto" w:fill="FFFFFF"/>
        <w:tabs>
          <w:tab w:val="left" w:pos="1134"/>
        </w:tabs>
        <w:ind w:left="0" w:firstLine="709"/>
        <w:contextualSpacing/>
        <w:rPr>
          <w:lang w:eastAsia="en-US"/>
        </w:rPr>
      </w:pPr>
      <w:r w:rsidRPr="00B35439">
        <w:rPr>
          <w:lang w:eastAsia="en-US"/>
        </w:rPr>
        <w:t xml:space="preserve">корпоративні облігації, емітентом яких є банк-резидент, який протягом останніх 6 місяців до дати розрахунку величини прийнятних активів виконував усі економічні нормативи, </w:t>
      </w:r>
      <w:r w:rsidR="00017138" w:rsidRPr="00B35439">
        <w:rPr>
          <w:lang w:eastAsia="en-US"/>
        </w:rPr>
        <w:t>що визначається страховиком з урахуванням пункту 7 розділу ІІ цього Положення</w:t>
      </w:r>
      <w:r w:rsidRPr="00B35439">
        <w:rPr>
          <w:lang w:eastAsia="en-US"/>
        </w:rPr>
        <w:t>;</w:t>
      </w:r>
    </w:p>
    <w:p w14:paraId="0EEA46DF" w14:textId="77777777" w:rsidR="00CD3F38" w:rsidRPr="00B35439" w:rsidRDefault="00CD3F38" w:rsidP="00CD3F38">
      <w:pPr>
        <w:widowControl w:val="0"/>
        <w:shd w:val="clear" w:color="auto" w:fill="FFFFFF"/>
        <w:tabs>
          <w:tab w:val="left" w:pos="1134"/>
        </w:tabs>
        <w:ind w:firstLine="709"/>
        <w:contextualSpacing/>
        <w:rPr>
          <w:lang w:eastAsia="en-US"/>
        </w:rPr>
      </w:pPr>
      <w:bookmarkStart w:id="222" w:name="n207"/>
      <w:bookmarkEnd w:id="222"/>
    </w:p>
    <w:p w14:paraId="4CAD8F7C" w14:textId="77777777" w:rsidR="00CD3F38" w:rsidRPr="00B35439" w:rsidRDefault="00CD3F38" w:rsidP="00CD3F38">
      <w:pPr>
        <w:widowControl w:val="0"/>
        <w:numPr>
          <w:ilvl w:val="0"/>
          <w:numId w:val="12"/>
        </w:numPr>
        <w:shd w:val="clear" w:color="auto" w:fill="FFFFFF"/>
        <w:tabs>
          <w:tab w:val="left" w:pos="1134"/>
        </w:tabs>
        <w:ind w:left="0" w:firstLine="709"/>
        <w:contextualSpacing/>
        <w:rPr>
          <w:lang w:eastAsia="en-US"/>
        </w:rPr>
      </w:pPr>
      <w:r w:rsidRPr="00B35439">
        <w:rPr>
          <w:lang w:eastAsia="en-US"/>
        </w:rPr>
        <w:t>облігації міжнародних фінансових організацій;</w:t>
      </w:r>
    </w:p>
    <w:p w14:paraId="396663E9" w14:textId="77777777" w:rsidR="00CD3F38" w:rsidRPr="00B35439" w:rsidRDefault="00CD3F38" w:rsidP="00CD3F38">
      <w:pPr>
        <w:widowControl w:val="0"/>
        <w:shd w:val="clear" w:color="auto" w:fill="FFFFFF"/>
        <w:tabs>
          <w:tab w:val="left" w:pos="1134"/>
        </w:tabs>
        <w:ind w:firstLine="709"/>
        <w:rPr>
          <w:lang w:eastAsia="en-US"/>
        </w:rPr>
      </w:pPr>
    </w:p>
    <w:p w14:paraId="2813AFA6" w14:textId="77777777" w:rsidR="00CD3F38" w:rsidRPr="00B35439" w:rsidRDefault="00CD3F38" w:rsidP="00CD3F38">
      <w:pPr>
        <w:widowControl w:val="0"/>
        <w:numPr>
          <w:ilvl w:val="0"/>
          <w:numId w:val="12"/>
        </w:numPr>
        <w:shd w:val="clear" w:color="auto" w:fill="FFFFFF"/>
        <w:tabs>
          <w:tab w:val="left" w:pos="1134"/>
        </w:tabs>
        <w:ind w:left="0" w:firstLine="709"/>
        <w:contextualSpacing/>
        <w:rPr>
          <w:lang w:eastAsia="en-US"/>
        </w:rPr>
      </w:pPr>
      <w:bookmarkStart w:id="223" w:name="n208"/>
      <w:bookmarkEnd w:id="223"/>
      <w:r w:rsidRPr="00B35439">
        <w:rPr>
          <w:lang w:eastAsia="en-US"/>
        </w:rPr>
        <w:t>залишок коштів у централізованих страхових резервних фондах, що сплачені страховиком до централізованих страхових резервних фондів Моторного (транспортного) страхового бюро України відповідно до Закону про обов’язкове страхування та розміщені в банках та в державних цінних паперах;</w:t>
      </w:r>
    </w:p>
    <w:p w14:paraId="16462A28" w14:textId="77777777" w:rsidR="00CD3F38" w:rsidRPr="00B35439" w:rsidRDefault="00CD3F38" w:rsidP="00CD3F38">
      <w:pPr>
        <w:widowControl w:val="0"/>
        <w:shd w:val="clear" w:color="auto" w:fill="FFFFFF"/>
        <w:tabs>
          <w:tab w:val="left" w:pos="1134"/>
        </w:tabs>
        <w:ind w:firstLine="709"/>
        <w:rPr>
          <w:lang w:eastAsia="en-US"/>
        </w:rPr>
      </w:pPr>
      <w:bookmarkStart w:id="224" w:name="n209"/>
      <w:bookmarkEnd w:id="224"/>
    </w:p>
    <w:p w14:paraId="1CCBF283" w14:textId="77777777" w:rsidR="00CD3F38" w:rsidRPr="00B35439" w:rsidRDefault="00CD3F38" w:rsidP="00CD3F38">
      <w:pPr>
        <w:widowControl w:val="0"/>
        <w:numPr>
          <w:ilvl w:val="0"/>
          <w:numId w:val="12"/>
        </w:numPr>
        <w:shd w:val="clear" w:color="auto" w:fill="FFFFFF"/>
        <w:tabs>
          <w:tab w:val="left" w:pos="1134"/>
        </w:tabs>
        <w:ind w:left="0" w:firstLine="709"/>
        <w:contextualSpacing/>
        <w:rPr>
          <w:lang w:eastAsia="en-US"/>
        </w:rPr>
      </w:pPr>
      <w:r w:rsidRPr="00B35439">
        <w:rPr>
          <w:lang w:eastAsia="en-US"/>
        </w:rPr>
        <w:t xml:space="preserve">права вимоги до </w:t>
      </w:r>
      <w:proofErr w:type="spellStart"/>
      <w:r w:rsidRPr="00B35439">
        <w:rPr>
          <w:lang w:eastAsia="en-US"/>
        </w:rPr>
        <w:t>перестраховиків</w:t>
      </w:r>
      <w:proofErr w:type="spellEnd"/>
      <w:r w:rsidRPr="00B35439">
        <w:rPr>
          <w:lang w:eastAsia="en-US"/>
        </w:rPr>
        <w:t xml:space="preserve">-нерезидентів за укладеними договорами перестрахування ризиків з обов’язкового авіаційного страхування цивільної авіації та за договорами міжнародного обов’язкового страхування цивільно-правової відповідальності власників наземних транспортних засобів, які діють на території країн – членів міжнародної системи автомобільного страхування </w:t>
      </w:r>
      <w:r w:rsidRPr="00B35439">
        <w:rPr>
          <w:rFonts w:eastAsia="SimSun"/>
        </w:rPr>
        <w:t>“</w:t>
      </w:r>
      <w:r w:rsidRPr="00B35439">
        <w:rPr>
          <w:lang w:eastAsia="en-US"/>
        </w:rPr>
        <w:t>Зелена Картка</w:t>
      </w:r>
      <w:r w:rsidRPr="00B35439">
        <w:rPr>
          <w:rFonts w:eastAsia="SimSun"/>
        </w:rPr>
        <w:t>”</w:t>
      </w:r>
      <w:r w:rsidRPr="00B35439">
        <w:rPr>
          <w:lang w:eastAsia="en-US"/>
        </w:rPr>
        <w:t xml:space="preserve"> та рейтинг фінансової надійності (стійкості) таких </w:t>
      </w:r>
      <w:proofErr w:type="spellStart"/>
      <w:r w:rsidRPr="00B35439">
        <w:rPr>
          <w:lang w:eastAsia="en-US"/>
        </w:rPr>
        <w:t>перестраховиків</w:t>
      </w:r>
      <w:proofErr w:type="spellEnd"/>
      <w:r w:rsidRPr="00B35439">
        <w:rPr>
          <w:lang w:eastAsia="en-US"/>
        </w:rPr>
        <w:t>-нерезидентів не нижчий за класифікацією таких міжнародних рейтингових агентств:</w:t>
      </w:r>
    </w:p>
    <w:p w14:paraId="572344FC" w14:textId="77777777" w:rsidR="00CD3F38" w:rsidRPr="00B35439" w:rsidRDefault="00CD3F38" w:rsidP="00CD3F38">
      <w:pPr>
        <w:widowControl w:val="0"/>
        <w:shd w:val="clear" w:color="auto" w:fill="FFFFFF"/>
        <w:tabs>
          <w:tab w:val="left" w:pos="1134"/>
        </w:tabs>
        <w:ind w:firstLine="709"/>
        <w:rPr>
          <w:lang w:eastAsia="en-US"/>
        </w:rPr>
      </w:pPr>
      <w:bookmarkStart w:id="225" w:name="n210"/>
      <w:bookmarkStart w:id="226" w:name="n211"/>
      <w:bookmarkStart w:id="227" w:name="n212"/>
      <w:bookmarkStart w:id="228" w:name="n214"/>
      <w:bookmarkEnd w:id="225"/>
      <w:bookmarkEnd w:id="226"/>
      <w:bookmarkEnd w:id="227"/>
      <w:bookmarkEnd w:id="228"/>
      <w:r w:rsidRPr="00B35439">
        <w:rPr>
          <w:lang w:eastAsia="en-US"/>
        </w:rPr>
        <w:t>“A3” [</w:t>
      </w:r>
      <w:proofErr w:type="spellStart"/>
      <w:r w:rsidRPr="00B35439">
        <w:rPr>
          <w:lang w:eastAsia="en-US"/>
        </w:rPr>
        <w:t>Moody’s</w:t>
      </w:r>
      <w:proofErr w:type="spellEnd"/>
      <w:r w:rsidRPr="00B35439">
        <w:rPr>
          <w:lang w:eastAsia="en-US"/>
        </w:rPr>
        <w:t xml:space="preserve"> </w:t>
      </w:r>
      <w:proofErr w:type="spellStart"/>
      <w:r w:rsidRPr="00B35439">
        <w:rPr>
          <w:lang w:eastAsia="en-US"/>
        </w:rPr>
        <w:t>Investors</w:t>
      </w:r>
      <w:proofErr w:type="spellEnd"/>
      <w:r w:rsidRPr="00B35439">
        <w:rPr>
          <w:lang w:eastAsia="en-US"/>
        </w:rPr>
        <w:t xml:space="preserve"> </w:t>
      </w:r>
      <w:proofErr w:type="spellStart"/>
      <w:r w:rsidRPr="00B35439">
        <w:rPr>
          <w:lang w:eastAsia="en-US"/>
        </w:rPr>
        <w:t>Service</w:t>
      </w:r>
      <w:proofErr w:type="spellEnd"/>
      <w:r w:rsidRPr="00B35439">
        <w:rPr>
          <w:lang w:eastAsia="en-US"/>
        </w:rPr>
        <w:t xml:space="preserve"> (США)];</w:t>
      </w:r>
    </w:p>
    <w:p w14:paraId="7F1A56A1" w14:textId="77777777" w:rsidR="00CD3F38" w:rsidRPr="00B35439" w:rsidRDefault="00CD3F38" w:rsidP="00CD3F38">
      <w:pPr>
        <w:widowControl w:val="0"/>
        <w:shd w:val="clear" w:color="auto" w:fill="FFFFFF"/>
        <w:tabs>
          <w:tab w:val="left" w:pos="1134"/>
        </w:tabs>
        <w:ind w:firstLine="709"/>
        <w:rPr>
          <w:lang w:eastAsia="en-US"/>
        </w:rPr>
      </w:pPr>
      <w:r w:rsidRPr="00B35439">
        <w:rPr>
          <w:lang w:eastAsia="en-US"/>
        </w:rPr>
        <w:lastRenderedPageBreak/>
        <w:t xml:space="preserve">“A-” [Standard &amp; </w:t>
      </w:r>
      <w:proofErr w:type="spellStart"/>
      <w:r w:rsidRPr="00B35439">
        <w:rPr>
          <w:lang w:eastAsia="en-US"/>
        </w:rPr>
        <w:t>Poor’s</w:t>
      </w:r>
      <w:proofErr w:type="spellEnd"/>
      <w:r w:rsidRPr="00B35439">
        <w:rPr>
          <w:lang w:eastAsia="en-US"/>
        </w:rPr>
        <w:t xml:space="preserve"> (США)];</w:t>
      </w:r>
    </w:p>
    <w:p w14:paraId="307A4B96" w14:textId="77777777" w:rsidR="00CD3F38" w:rsidRPr="00B35439" w:rsidRDefault="00CD3F38" w:rsidP="00CD3F38">
      <w:pPr>
        <w:widowControl w:val="0"/>
        <w:shd w:val="clear" w:color="auto" w:fill="FFFFFF"/>
        <w:tabs>
          <w:tab w:val="left" w:pos="1134"/>
        </w:tabs>
        <w:ind w:firstLine="709"/>
        <w:rPr>
          <w:lang w:eastAsia="en-US"/>
        </w:rPr>
      </w:pPr>
      <w:r w:rsidRPr="00B35439">
        <w:rPr>
          <w:lang w:eastAsia="en-US"/>
        </w:rPr>
        <w:t>“A-” [</w:t>
      </w:r>
      <w:proofErr w:type="spellStart"/>
      <w:r w:rsidRPr="00B35439">
        <w:rPr>
          <w:lang w:eastAsia="en-US"/>
        </w:rPr>
        <w:t>Fitch</w:t>
      </w:r>
      <w:proofErr w:type="spellEnd"/>
      <w:r w:rsidRPr="00B35439">
        <w:rPr>
          <w:lang w:eastAsia="en-US"/>
        </w:rPr>
        <w:t xml:space="preserve"> </w:t>
      </w:r>
      <w:proofErr w:type="spellStart"/>
      <w:r w:rsidRPr="00B35439">
        <w:rPr>
          <w:lang w:eastAsia="en-US"/>
        </w:rPr>
        <w:t>Ratings</w:t>
      </w:r>
      <w:proofErr w:type="spellEnd"/>
      <w:r w:rsidRPr="00B35439">
        <w:rPr>
          <w:lang w:eastAsia="en-US"/>
        </w:rPr>
        <w:t xml:space="preserve"> (Великобританія)];</w:t>
      </w:r>
    </w:p>
    <w:p w14:paraId="5EB27EF3" w14:textId="77777777" w:rsidR="00CD3F38" w:rsidRPr="00B35439" w:rsidRDefault="00CD3F38" w:rsidP="00CD3F38">
      <w:pPr>
        <w:widowControl w:val="0"/>
        <w:shd w:val="clear" w:color="auto" w:fill="FFFFFF"/>
        <w:tabs>
          <w:tab w:val="left" w:pos="1134"/>
        </w:tabs>
        <w:ind w:firstLine="709"/>
        <w:rPr>
          <w:lang w:eastAsia="en-US"/>
        </w:rPr>
      </w:pPr>
      <w:r w:rsidRPr="00B35439">
        <w:rPr>
          <w:lang w:eastAsia="en-US"/>
        </w:rPr>
        <w:t>“A-” [</w:t>
      </w:r>
      <w:r w:rsidRPr="00B35439">
        <w:rPr>
          <w:bCs/>
        </w:rPr>
        <w:t xml:space="preserve">A.M. </w:t>
      </w:r>
      <w:proofErr w:type="spellStart"/>
      <w:r w:rsidRPr="00B35439">
        <w:rPr>
          <w:bCs/>
        </w:rPr>
        <w:t>Best</w:t>
      </w:r>
      <w:proofErr w:type="spellEnd"/>
      <w:r w:rsidRPr="00B35439">
        <w:rPr>
          <w:bCs/>
        </w:rPr>
        <w:t xml:space="preserve"> (США)].</w:t>
      </w:r>
    </w:p>
    <w:p w14:paraId="00BD18BB" w14:textId="77777777" w:rsidR="00CD3F38" w:rsidRPr="00B35439" w:rsidRDefault="00CD3F38" w:rsidP="00CD3F38">
      <w:pPr>
        <w:widowControl w:val="0"/>
        <w:shd w:val="clear" w:color="auto" w:fill="FFFFFF"/>
        <w:tabs>
          <w:tab w:val="left" w:pos="1134"/>
        </w:tabs>
        <w:ind w:firstLine="709"/>
        <w:rPr>
          <w:lang w:eastAsia="en-US"/>
        </w:rPr>
      </w:pPr>
    </w:p>
    <w:p w14:paraId="716A7959" w14:textId="77777777" w:rsidR="00CD3F38" w:rsidRPr="00B35439" w:rsidRDefault="00CD3F38" w:rsidP="00CD3F38">
      <w:pPr>
        <w:widowControl w:val="0"/>
        <w:numPr>
          <w:ilvl w:val="0"/>
          <w:numId w:val="12"/>
        </w:numPr>
        <w:shd w:val="clear" w:color="auto" w:fill="FFFFFF"/>
        <w:tabs>
          <w:tab w:val="left" w:pos="1134"/>
        </w:tabs>
        <w:ind w:left="0" w:firstLine="709"/>
        <w:contextualSpacing/>
        <w:rPr>
          <w:lang w:eastAsia="en-US"/>
        </w:rPr>
      </w:pPr>
      <w:r w:rsidRPr="00B35439">
        <w:rPr>
          <w:lang w:eastAsia="en-US"/>
        </w:rPr>
        <w:t xml:space="preserve">права вимоги до </w:t>
      </w:r>
      <w:proofErr w:type="spellStart"/>
      <w:r w:rsidRPr="00B35439">
        <w:rPr>
          <w:lang w:eastAsia="en-US"/>
        </w:rPr>
        <w:t>перестраховиків-нерезиденів</w:t>
      </w:r>
      <w:proofErr w:type="spellEnd"/>
      <w:r w:rsidRPr="00B35439">
        <w:rPr>
          <w:lang w:eastAsia="en-US"/>
        </w:rPr>
        <w:t xml:space="preserve"> за укладеними договорами перестрахування ризиків з обов’язкового страхування цивільної відповідальності оператора ядерної установки за ядерну шкоду, яка може бути заподіяна внаслідок ядерного інциденту, та договорами, визначеними в пункті 5 розділу II Методики.</w:t>
      </w:r>
      <w:bookmarkStart w:id="229" w:name="n2183"/>
      <w:bookmarkStart w:id="230" w:name="n423"/>
      <w:bookmarkStart w:id="231" w:name="n424"/>
      <w:bookmarkStart w:id="232" w:name="n425"/>
      <w:bookmarkStart w:id="233" w:name="n426"/>
      <w:bookmarkStart w:id="234" w:name="n1865"/>
      <w:bookmarkStart w:id="235" w:name="n1866"/>
      <w:bookmarkStart w:id="236" w:name="n1867"/>
      <w:bookmarkStart w:id="237" w:name="n1868"/>
      <w:bookmarkStart w:id="238" w:name="n1869"/>
      <w:bookmarkStart w:id="239" w:name="n1870"/>
      <w:bookmarkStart w:id="240" w:name="n1871"/>
      <w:bookmarkStart w:id="241" w:name="n1872"/>
      <w:bookmarkStart w:id="242" w:name="n1873"/>
      <w:bookmarkStart w:id="243" w:name="n1874"/>
      <w:bookmarkStart w:id="244" w:name="n1875"/>
      <w:bookmarkStart w:id="245" w:name="n1876"/>
      <w:bookmarkStart w:id="246" w:name="n1877"/>
      <w:bookmarkStart w:id="247" w:name="n1878"/>
      <w:bookmarkStart w:id="248" w:name="n1879"/>
      <w:bookmarkStart w:id="249" w:name="n1880"/>
      <w:bookmarkStart w:id="250" w:name="n1881"/>
      <w:bookmarkStart w:id="251" w:name="n1882"/>
      <w:bookmarkStart w:id="252" w:name="n1883"/>
      <w:bookmarkStart w:id="253" w:name="n1885"/>
      <w:bookmarkStart w:id="254" w:name="n1886"/>
      <w:bookmarkStart w:id="255" w:name="n1887"/>
      <w:bookmarkStart w:id="256" w:name="n1888"/>
      <w:bookmarkStart w:id="257" w:name="n1889"/>
      <w:bookmarkStart w:id="258" w:name="n1890"/>
      <w:bookmarkStart w:id="259" w:name="n1891"/>
      <w:bookmarkStart w:id="260" w:name="n1892"/>
      <w:bookmarkStart w:id="261" w:name="n1893"/>
      <w:bookmarkStart w:id="262" w:name="n1894"/>
      <w:bookmarkStart w:id="263" w:name="n1895"/>
      <w:bookmarkStart w:id="264" w:name="n1896"/>
      <w:bookmarkStart w:id="265" w:name="n1897"/>
      <w:bookmarkStart w:id="266" w:name="n1898"/>
      <w:bookmarkStart w:id="267" w:name="n1899"/>
      <w:bookmarkStart w:id="268" w:name="n1900"/>
      <w:bookmarkStart w:id="269" w:name="n1901"/>
      <w:bookmarkStart w:id="270" w:name="n1902"/>
      <w:bookmarkStart w:id="271" w:name="n1903"/>
      <w:bookmarkStart w:id="272" w:name="n1904"/>
      <w:bookmarkStart w:id="273" w:name="n1905"/>
      <w:bookmarkStart w:id="274" w:name="n1906"/>
      <w:bookmarkStart w:id="275" w:name="n1907"/>
      <w:bookmarkStart w:id="276" w:name="n1908"/>
      <w:bookmarkStart w:id="277" w:name="n1909"/>
      <w:bookmarkStart w:id="278" w:name="n1910"/>
      <w:bookmarkStart w:id="279" w:name="n1911"/>
      <w:bookmarkStart w:id="280" w:name="n1912"/>
      <w:bookmarkStart w:id="281" w:name="n1913"/>
      <w:bookmarkStart w:id="282" w:name="n1914"/>
      <w:bookmarkStart w:id="283" w:name="n1915"/>
      <w:bookmarkStart w:id="284" w:name="n1916"/>
      <w:bookmarkStart w:id="285" w:name="n1917"/>
      <w:bookmarkStart w:id="286" w:name="n1918"/>
      <w:bookmarkStart w:id="287" w:name="n1919"/>
      <w:bookmarkStart w:id="288" w:name="n1920"/>
      <w:bookmarkStart w:id="289" w:name="n1921"/>
      <w:bookmarkStart w:id="290" w:name="n1922"/>
      <w:bookmarkStart w:id="291" w:name="n1923"/>
      <w:bookmarkStart w:id="292" w:name="n1924"/>
      <w:bookmarkStart w:id="293" w:name="n1925"/>
      <w:bookmarkStart w:id="294" w:name="n1926"/>
      <w:bookmarkStart w:id="295" w:name="n1927"/>
      <w:bookmarkStart w:id="296" w:name="n1928"/>
      <w:bookmarkStart w:id="297" w:name="n1929"/>
      <w:bookmarkStart w:id="298" w:name="n1930"/>
      <w:bookmarkStart w:id="299" w:name="n2068"/>
      <w:bookmarkStart w:id="300" w:name="n1931"/>
      <w:bookmarkStart w:id="301" w:name="n1932"/>
      <w:bookmarkStart w:id="302" w:name="n1933"/>
      <w:bookmarkStart w:id="303" w:name="n1934"/>
      <w:bookmarkStart w:id="304" w:name="n1935"/>
      <w:bookmarkStart w:id="305" w:name="n1936"/>
      <w:bookmarkStart w:id="306" w:name="n1937"/>
      <w:bookmarkStart w:id="307" w:name="n1938"/>
      <w:bookmarkStart w:id="308" w:name="n1939"/>
      <w:bookmarkStart w:id="309" w:name="n1940"/>
      <w:bookmarkStart w:id="310" w:name="n1941"/>
      <w:bookmarkStart w:id="311" w:name="n1942"/>
      <w:bookmarkStart w:id="312" w:name="n1943"/>
      <w:bookmarkStart w:id="313" w:name="n1944"/>
      <w:bookmarkStart w:id="314" w:name="n1945"/>
      <w:bookmarkStart w:id="315" w:name="n1946"/>
      <w:bookmarkStart w:id="316" w:name="n1947"/>
      <w:bookmarkStart w:id="317" w:name="n1948"/>
      <w:bookmarkStart w:id="318" w:name="n1949"/>
      <w:bookmarkStart w:id="319" w:name="n1950"/>
      <w:bookmarkStart w:id="320" w:name="n1951"/>
      <w:bookmarkStart w:id="321" w:name="n1952"/>
      <w:bookmarkStart w:id="322" w:name="n1953"/>
      <w:bookmarkStart w:id="323" w:name="n1954"/>
      <w:bookmarkStart w:id="324" w:name="n1955"/>
      <w:bookmarkStart w:id="325" w:name="n1956"/>
      <w:bookmarkStart w:id="326" w:name="n1957"/>
      <w:bookmarkStart w:id="327" w:name="n1958"/>
      <w:bookmarkStart w:id="328" w:name="n1959"/>
      <w:bookmarkStart w:id="329" w:name="n1960"/>
      <w:bookmarkStart w:id="330" w:name="n1961"/>
      <w:bookmarkStart w:id="331" w:name="n1962"/>
      <w:bookmarkStart w:id="332" w:name="n1963"/>
      <w:bookmarkStart w:id="333" w:name="n1964"/>
      <w:bookmarkStart w:id="334" w:name="n1965"/>
      <w:bookmarkStart w:id="335" w:name="n1966"/>
      <w:bookmarkStart w:id="336" w:name="n1967"/>
      <w:bookmarkStart w:id="337" w:name="n1968"/>
      <w:bookmarkStart w:id="338" w:name="n1969"/>
      <w:bookmarkStart w:id="339" w:name="n1970"/>
      <w:bookmarkStart w:id="340" w:name="n1971"/>
      <w:bookmarkStart w:id="341" w:name="n1972"/>
      <w:bookmarkStart w:id="342" w:name="n1973"/>
      <w:bookmarkStart w:id="343" w:name="n1974"/>
      <w:bookmarkStart w:id="344" w:name="n1975"/>
      <w:bookmarkStart w:id="345" w:name="n1976"/>
      <w:bookmarkStart w:id="346" w:name="n1977"/>
      <w:bookmarkStart w:id="347" w:name="n1978"/>
      <w:bookmarkStart w:id="348" w:name="n1979"/>
      <w:bookmarkStart w:id="349" w:name="n1980"/>
      <w:bookmarkStart w:id="350" w:name="n1981"/>
      <w:bookmarkStart w:id="351" w:name="n1982"/>
      <w:bookmarkStart w:id="352" w:name="n1983"/>
      <w:bookmarkStart w:id="353" w:name="n1984"/>
      <w:bookmarkStart w:id="354" w:name="n1985"/>
      <w:bookmarkStart w:id="355" w:name="n1986"/>
      <w:bookmarkStart w:id="356" w:name="n1987"/>
      <w:bookmarkStart w:id="357" w:name="n1988"/>
      <w:bookmarkStart w:id="358" w:name="n1989"/>
      <w:bookmarkStart w:id="359" w:name="n1990"/>
      <w:bookmarkStart w:id="360" w:name="n1991"/>
      <w:bookmarkStart w:id="361" w:name="n1992"/>
      <w:bookmarkStart w:id="362" w:name="n1993"/>
      <w:bookmarkStart w:id="363" w:name="n1994"/>
      <w:bookmarkStart w:id="364" w:name="n1995"/>
      <w:bookmarkStart w:id="365" w:name="n1996"/>
      <w:bookmarkStart w:id="366" w:name="n2067"/>
      <w:bookmarkStart w:id="367" w:name="n1997"/>
      <w:bookmarkStart w:id="368" w:name="n1998"/>
      <w:bookmarkStart w:id="369" w:name="n1999"/>
      <w:bookmarkStart w:id="370" w:name="n2000"/>
      <w:bookmarkStart w:id="371" w:name="n2001"/>
      <w:bookmarkStart w:id="372" w:name="n2002"/>
      <w:bookmarkStart w:id="373" w:name="n2003"/>
      <w:bookmarkStart w:id="374" w:name="n2004"/>
      <w:bookmarkStart w:id="375" w:name="n2005"/>
      <w:bookmarkStart w:id="376" w:name="n2006"/>
      <w:bookmarkStart w:id="377" w:name="n2007"/>
      <w:bookmarkStart w:id="378" w:name="n2008"/>
      <w:bookmarkStart w:id="379" w:name="n2009"/>
      <w:bookmarkStart w:id="380" w:name="n2010"/>
      <w:bookmarkStart w:id="381" w:name="n2011"/>
      <w:bookmarkStart w:id="382" w:name="n2012"/>
      <w:bookmarkStart w:id="383" w:name="n2321"/>
      <w:bookmarkStart w:id="384" w:name="n2013"/>
      <w:bookmarkStart w:id="385" w:name="n2014"/>
      <w:bookmarkStart w:id="386" w:name="n2015"/>
      <w:bookmarkStart w:id="387" w:name="n2016"/>
      <w:bookmarkStart w:id="388" w:name="n2017"/>
      <w:bookmarkStart w:id="389" w:name="n2018"/>
      <w:bookmarkStart w:id="390" w:name="n2019"/>
      <w:bookmarkStart w:id="391" w:name="n2066"/>
      <w:bookmarkStart w:id="392" w:name="n2020"/>
      <w:bookmarkStart w:id="393" w:name="n2021"/>
      <w:bookmarkStart w:id="394" w:name="n2022"/>
      <w:bookmarkStart w:id="395" w:name="n2023"/>
      <w:bookmarkStart w:id="396" w:name="n2024"/>
      <w:bookmarkStart w:id="397" w:name="n2025"/>
      <w:bookmarkStart w:id="398" w:name="n2026"/>
      <w:bookmarkStart w:id="399" w:name="n2027"/>
      <w:bookmarkStart w:id="400" w:name="n2028"/>
      <w:bookmarkStart w:id="401" w:name="n2029"/>
      <w:bookmarkStart w:id="402" w:name="n2030"/>
      <w:bookmarkStart w:id="403" w:name="n2031"/>
      <w:bookmarkStart w:id="404" w:name="n2032"/>
      <w:bookmarkStart w:id="405" w:name="n2033"/>
      <w:bookmarkStart w:id="406" w:name="n2034"/>
      <w:bookmarkStart w:id="407" w:name="n2035"/>
      <w:bookmarkStart w:id="408" w:name="n2036"/>
      <w:bookmarkStart w:id="409" w:name="n2037"/>
      <w:bookmarkStart w:id="410" w:name="n2038"/>
      <w:bookmarkStart w:id="411" w:name="n2039"/>
      <w:bookmarkStart w:id="412" w:name="n2040"/>
      <w:bookmarkStart w:id="413" w:name="n2041"/>
      <w:bookmarkStart w:id="414" w:name="n2042"/>
      <w:bookmarkStart w:id="415" w:name="n2043"/>
      <w:bookmarkStart w:id="416" w:name="n2044"/>
      <w:bookmarkStart w:id="417" w:name="n2045"/>
      <w:bookmarkStart w:id="418" w:name="n2046"/>
      <w:bookmarkStart w:id="419" w:name="n2065"/>
      <w:bookmarkStart w:id="420" w:name="n2047"/>
      <w:bookmarkStart w:id="421" w:name="n2048"/>
      <w:bookmarkStart w:id="422" w:name="n2050"/>
      <w:bookmarkStart w:id="423" w:name="n2051"/>
      <w:bookmarkStart w:id="424" w:name="n2052"/>
      <w:bookmarkStart w:id="425" w:name="n2053"/>
      <w:bookmarkStart w:id="426" w:name="n2054"/>
      <w:bookmarkStart w:id="427" w:name="n2055"/>
      <w:bookmarkStart w:id="428" w:name="n2056"/>
      <w:bookmarkStart w:id="429" w:name="n2057"/>
      <w:bookmarkStart w:id="430" w:name="n2058"/>
      <w:bookmarkStart w:id="431" w:name="n2059"/>
      <w:bookmarkStart w:id="432" w:name="n2060"/>
      <w:bookmarkStart w:id="433" w:name="n2061"/>
      <w:bookmarkStart w:id="434" w:name="n2062"/>
      <w:bookmarkStart w:id="435" w:name="n2063"/>
      <w:bookmarkStart w:id="436" w:name="n2064"/>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1CBE4D1D" w14:textId="77777777" w:rsidR="00CD3F38" w:rsidRPr="00B35439" w:rsidRDefault="00CD3F38" w:rsidP="00CD3F38">
      <w:pPr>
        <w:widowControl w:val="0"/>
        <w:shd w:val="clear" w:color="auto" w:fill="FFFFFF"/>
        <w:tabs>
          <w:tab w:val="left" w:pos="1134"/>
        </w:tabs>
        <w:ind w:firstLine="709"/>
        <w:contextualSpacing/>
        <w:rPr>
          <w:lang w:eastAsia="en-US"/>
        </w:rPr>
      </w:pPr>
    </w:p>
    <w:p w14:paraId="4BA10144" w14:textId="77777777" w:rsidR="00CD3F38" w:rsidRPr="00B35439" w:rsidRDefault="00CD3F38" w:rsidP="00CD3F38">
      <w:pPr>
        <w:widowControl w:val="0"/>
        <w:numPr>
          <w:ilvl w:val="0"/>
          <w:numId w:val="3"/>
        </w:numPr>
        <w:shd w:val="clear" w:color="auto" w:fill="FFFFFF"/>
        <w:tabs>
          <w:tab w:val="left" w:pos="1134"/>
          <w:tab w:val="left" w:pos="1276"/>
        </w:tabs>
        <w:ind w:left="0" w:firstLine="709"/>
        <w:contextualSpacing/>
        <w:jc w:val="center"/>
        <w:outlineLvl w:val="0"/>
        <w:rPr>
          <w:rFonts w:eastAsia="Calibri"/>
          <w:lang w:eastAsia="en-US"/>
        </w:rPr>
      </w:pPr>
      <w:r w:rsidRPr="00B35439">
        <w:rPr>
          <w:bCs/>
        </w:rPr>
        <w:t>Порядок отримання дозволу на врахування залучених коштів на умовах субординованого боргу до прийнятних активів</w:t>
      </w:r>
    </w:p>
    <w:p w14:paraId="7ABA5C3A" w14:textId="77777777" w:rsidR="00CD3F38" w:rsidRPr="00B35439" w:rsidRDefault="00CD3F38" w:rsidP="00CD3F38">
      <w:pPr>
        <w:widowControl w:val="0"/>
        <w:shd w:val="clear" w:color="auto" w:fill="FFFFFF"/>
        <w:tabs>
          <w:tab w:val="left" w:pos="1134"/>
        </w:tabs>
        <w:ind w:firstLine="709"/>
        <w:rPr>
          <w:lang w:eastAsia="en-US"/>
        </w:rPr>
      </w:pPr>
    </w:p>
    <w:p w14:paraId="5A7104B2" w14:textId="77777777" w:rsidR="00CD3F38" w:rsidRPr="00B35439" w:rsidRDefault="00CD3F38" w:rsidP="00CD3F38">
      <w:pPr>
        <w:widowControl w:val="0"/>
        <w:numPr>
          <w:ilvl w:val="0"/>
          <w:numId w:val="4"/>
        </w:numPr>
        <w:tabs>
          <w:tab w:val="left" w:pos="1134"/>
        </w:tabs>
        <w:ind w:left="0" w:firstLine="709"/>
        <w:outlineLvl w:val="1"/>
        <w:rPr>
          <w:lang w:eastAsia="en-US"/>
        </w:rPr>
      </w:pPr>
      <w:r w:rsidRPr="00B35439">
        <w:rPr>
          <w:lang w:eastAsia="en-US"/>
        </w:rPr>
        <w:t>Страховик для отримання дозволу на врахування залучених коштів на умовах субординованого боргу до ФЗП для цілей дотримання нормативу платоспроможності та достатності капіталу (далі – Дозвіл) надає протягом 7 робочих днів після укладення угоди (договору) з інвестором такі документи (залежно від статусу інвестора):</w:t>
      </w:r>
    </w:p>
    <w:p w14:paraId="3CCE0299" w14:textId="77777777" w:rsidR="00CD3F38" w:rsidRPr="00B35439" w:rsidRDefault="00CD3F38" w:rsidP="00CD3F38">
      <w:pPr>
        <w:widowControl w:val="0"/>
        <w:shd w:val="clear" w:color="auto" w:fill="FFFFFF"/>
        <w:tabs>
          <w:tab w:val="left" w:pos="993"/>
          <w:tab w:val="left" w:pos="1134"/>
        </w:tabs>
        <w:ind w:firstLine="709"/>
        <w:contextualSpacing/>
        <w:rPr>
          <w:lang w:eastAsia="en-US"/>
        </w:rPr>
      </w:pPr>
    </w:p>
    <w:p w14:paraId="46466A91" w14:textId="77777777" w:rsidR="00CD3F38" w:rsidRPr="00B35439" w:rsidRDefault="00CD3F38" w:rsidP="00CD3F38">
      <w:pPr>
        <w:widowControl w:val="0"/>
        <w:numPr>
          <w:ilvl w:val="0"/>
          <w:numId w:val="17"/>
        </w:numPr>
        <w:shd w:val="clear" w:color="auto" w:fill="FFFFFF"/>
        <w:tabs>
          <w:tab w:val="left" w:pos="993"/>
          <w:tab w:val="left" w:pos="1134"/>
        </w:tabs>
        <w:ind w:left="0" w:firstLine="709"/>
        <w:contextualSpacing/>
        <w:rPr>
          <w:lang w:eastAsia="en-US"/>
        </w:rPr>
      </w:pPr>
      <w:r w:rsidRPr="00B35439">
        <w:rPr>
          <w:lang w:eastAsia="en-US"/>
        </w:rPr>
        <w:t>клопотання страховика про отримання Дозволу;</w:t>
      </w:r>
    </w:p>
    <w:p w14:paraId="1673255A" w14:textId="77777777" w:rsidR="00CD3F38" w:rsidRPr="00B35439" w:rsidRDefault="00CD3F38" w:rsidP="00CD3F38">
      <w:pPr>
        <w:widowControl w:val="0"/>
        <w:shd w:val="clear" w:color="auto" w:fill="FFFFFF"/>
        <w:tabs>
          <w:tab w:val="left" w:pos="993"/>
          <w:tab w:val="left" w:pos="1134"/>
        </w:tabs>
        <w:ind w:firstLine="709"/>
        <w:contextualSpacing/>
        <w:rPr>
          <w:lang w:eastAsia="en-US"/>
        </w:rPr>
      </w:pPr>
    </w:p>
    <w:p w14:paraId="5A6CBE04" w14:textId="77777777" w:rsidR="00CD3F38" w:rsidRPr="00B35439" w:rsidRDefault="00CD3F38" w:rsidP="00CD3F38">
      <w:pPr>
        <w:widowControl w:val="0"/>
        <w:numPr>
          <w:ilvl w:val="0"/>
          <w:numId w:val="17"/>
        </w:numPr>
        <w:shd w:val="clear" w:color="auto" w:fill="FFFFFF"/>
        <w:tabs>
          <w:tab w:val="left" w:pos="993"/>
          <w:tab w:val="left" w:pos="1134"/>
        </w:tabs>
        <w:ind w:left="0" w:firstLine="709"/>
        <w:contextualSpacing/>
        <w:rPr>
          <w:lang w:eastAsia="en-US"/>
        </w:rPr>
      </w:pPr>
      <w:r w:rsidRPr="00B35439">
        <w:rPr>
          <w:lang w:eastAsia="en-US"/>
        </w:rPr>
        <w:t>письмове підтвердження страховика, що інвестор не має фінансових та/або майнових зобов'язань перед страховиком на дату укладення угоди (договору), та список пов'язаних з інвестором осіб, крім випадків, коли інвестором є міжнародна фінансова установа, з якою укладено міжнародний договір України (далі – міжнародна фінансова установа);</w:t>
      </w:r>
    </w:p>
    <w:p w14:paraId="18C294DE" w14:textId="77777777" w:rsidR="00CD3F38" w:rsidRPr="00B35439" w:rsidRDefault="00CD3F38" w:rsidP="00CD3F38">
      <w:pPr>
        <w:widowControl w:val="0"/>
        <w:shd w:val="clear" w:color="auto" w:fill="FFFFFF"/>
        <w:tabs>
          <w:tab w:val="left" w:pos="993"/>
          <w:tab w:val="left" w:pos="1134"/>
        </w:tabs>
        <w:ind w:firstLine="709"/>
        <w:contextualSpacing/>
        <w:rPr>
          <w:lang w:eastAsia="en-US"/>
        </w:rPr>
      </w:pPr>
    </w:p>
    <w:p w14:paraId="7BD5D453" w14:textId="77777777" w:rsidR="00CD3F38" w:rsidRPr="00B35439" w:rsidRDefault="00CD3F38" w:rsidP="00CD3F38">
      <w:pPr>
        <w:widowControl w:val="0"/>
        <w:numPr>
          <w:ilvl w:val="0"/>
          <w:numId w:val="17"/>
        </w:numPr>
        <w:shd w:val="clear" w:color="auto" w:fill="FFFFFF"/>
        <w:tabs>
          <w:tab w:val="left" w:pos="993"/>
          <w:tab w:val="left" w:pos="1134"/>
        </w:tabs>
        <w:ind w:left="0" w:firstLine="709"/>
        <w:contextualSpacing/>
        <w:rPr>
          <w:lang w:eastAsia="en-US"/>
        </w:rPr>
      </w:pPr>
      <w:r w:rsidRPr="00B35439">
        <w:rPr>
          <w:lang w:eastAsia="en-US"/>
        </w:rPr>
        <w:t>копія угоди про залучення коштів на умовах субординованого боргу, що укладається між інвестором і страховиком;</w:t>
      </w:r>
    </w:p>
    <w:p w14:paraId="553F5F86" w14:textId="77777777" w:rsidR="00CD3F38" w:rsidRPr="00B35439" w:rsidRDefault="00CD3F38" w:rsidP="00CD3F38">
      <w:pPr>
        <w:widowControl w:val="0"/>
        <w:shd w:val="clear" w:color="auto" w:fill="FFFFFF"/>
        <w:tabs>
          <w:tab w:val="left" w:pos="993"/>
          <w:tab w:val="left" w:pos="1134"/>
        </w:tabs>
        <w:ind w:firstLine="709"/>
        <w:contextualSpacing/>
        <w:rPr>
          <w:lang w:eastAsia="en-US"/>
        </w:rPr>
      </w:pPr>
    </w:p>
    <w:p w14:paraId="7B407CC1" w14:textId="77777777" w:rsidR="00CD3F38" w:rsidRPr="00B35439" w:rsidRDefault="00CD3F38" w:rsidP="00CD3F38">
      <w:pPr>
        <w:widowControl w:val="0"/>
        <w:numPr>
          <w:ilvl w:val="0"/>
          <w:numId w:val="17"/>
        </w:numPr>
        <w:shd w:val="clear" w:color="auto" w:fill="FFFFFF"/>
        <w:tabs>
          <w:tab w:val="left" w:pos="993"/>
          <w:tab w:val="left" w:pos="1134"/>
        </w:tabs>
        <w:ind w:left="0" w:firstLine="709"/>
        <w:contextualSpacing/>
        <w:rPr>
          <w:lang w:eastAsia="en-US"/>
        </w:rPr>
      </w:pPr>
      <w:r w:rsidRPr="00B35439">
        <w:rPr>
          <w:lang w:eastAsia="en-US"/>
        </w:rPr>
        <w:t>копії платіжних документів про перерахування коштів, залучених на умовах субординованого боргу (копії мають бути засвідчені підписами керівника страховика);</w:t>
      </w:r>
    </w:p>
    <w:p w14:paraId="73FEF996" w14:textId="77777777" w:rsidR="00CD3F38" w:rsidRPr="00B35439" w:rsidRDefault="00CD3F38" w:rsidP="00CD3F38">
      <w:pPr>
        <w:widowControl w:val="0"/>
        <w:shd w:val="clear" w:color="auto" w:fill="FFFFFF"/>
        <w:tabs>
          <w:tab w:val="left" w:pos="993"/>
          <w:tab w:val="left" w:pos="1134"/>
        </w:tabs>
        <w:ind w:firstLine="709"/>
        <w:contextualSpacing/>
        <w:rPr>
          <w:lang w:eastAsia="en-US"/>
        </w:rPr>
      </w:pPr>
    </w:p>
    <w:p w14:paraId="17B9EAE7" w14:textId="77777777" w:rsidR="00CD3F38" w:rsidRPr="00B35439" w:rsidRDefault="00CD3F38" w:rsidP="00CD3F38">
      <w:pPr>
        <w:widowControl w:val="0"/>
        <w:numPr>
          <w:ilvl w:val="0"/>
          <w:numId w:val="17"/>
        </w:numPr>
        <w:shd w:val="clear" w:color="auto" w:fill="FFFFFF"/>
        <w:tabs>
          <w:tab w:val="left" w:pos="993"/>
          <w:tab w:val="left" w:pos="1134"/>
        </w:tabs>
        <w:ind w:left="0" w:firstLine="709"/>
        <w:contextualSpacing/>
        <w:rPr>
          <w:lang w:eastAsia="en-US"/>
        </w:rPr>
      </w:pPr>
      <w:r w:rsidRPr="00B35439">
        <w:rPr>
          <w:lang w:eastAsia="en-US"/>
        </w:rPr>
        <w:t xml:space="preserve">бізнес-план, розроблений страховиком, у якому мають бути передбачені: </w:t>
      </w:r>
    </w:p>
    <w:p w14:paraId="527559B0" w14:textId="77777777" w:rsidR="00CD3F38" w:rsidRPr="00B35439" w:rsidRDefault="00CD3F38" w:rsidP="00CD3F38">
      <w:pPr>
        <w:widowControl w:val="0"/>
        <w:shd w:val="clear" w:color="auto" w:fill="FFFFFF"/>
        <w:tabs>
          <w:tab w:val="left" w:pos="1134"/>
        </w:tabs>
        <w:ind w:firstLine="709"/>
        <w:contextualSpacing/>
        <w:rPr>
          <w:lang w:eastAsia="en-US"/>
        </w:rPr>
      </w:pPr>
      <w:r w:rsidRPr="00B35439">
        <w:rPr>
          <w:lang w:eastAsia="en-US"/>
        </w:rPr>
        <w:t xml:space="preserve">економічне обґрунтування щодо доцільності залучення коштів на умовах субординованого боргу; </w:t>
      </w:r>
    </w:p>
    <w:p w14:paraId="7AFE907F" w14:textId="77777777" w:rsidR="00CD3F38" w:rsidRPr="00B35439" w:rsidRDefault="00CD3F38" w:rsidP="00CD3F38">
      <w:pPr>
        <w:widowControl w:val="0"/>
        <w:shd w:val="clear" w:color="auto" w:fill="FFFFFF"/>
        <w:tabs>
          <w:tab w:val="left" w:pos="1134"/>
        </w:tabs>
        <w:ind w:firstLine="709"/>
        <w:contextualSpacing/>
        <w:rPr>
          <w:lang w:eastAsia="en-US"/>
        </w:rPr>
      </w:pPr>
      <w:r w:rsidRPr="00B35439">
        <w:rPr>
          <w:lang w:eastAsia="en-US"/>
        </w:rPr>
        <w:t xml:space="preserve">обґрунтування розміру процентної ставки за коштами, залученими на умовах субординованого боргу; </w:t>
      </w:r>
    </w:p>
    <w:p w14:paraId="12FA56FE" w14:textId="77777777" w:rsidR="00CD3F38" w:rsidRPr="00B35439" w:rsidRDefault="00CD3F38" w:rsidP="00CD3F38">
      <w:pPr>
        <w:widowControl w:val="0"/>
        <w:shd w:val="clear" w:color="auto" w:fill="FFFFFF"/>
        <w:tabs>
          <w:tab w:val="left" w:pos="1134"/>
        </w:tabs>
        <w:ind w:firstLine="709"/>
        <w:contextualSpacing/>
        <w:rPr>
          <w:lang w:eastAsia="en-US"/>
        </w:rPr>
      </w:pPr>
      <w:r w:rsidRPr="00B35439">
        <w:rPr>
          <w:lang w:eastAsia="en-US"/>
        </w:rPr>
        <w:t xml:space="preserve">програма капіталізації страховика (з урахуванням усіх раніше укладених договорів про залучення коштів на умовах субординованого боргу); </w:t>
      </w:r>
    </w:p>
    <w:p w14:paraId="28E815AF" w14:textId="2B161D99" w:rsidR="00CD3F38" w:rsidRPr="00B35439" w:rsidRDefault="00CD3F38" w:rsidP="00CD3F38">
      <w:pPr>
        <w:widowControl w:val="0"/>
        <w:shd w:val="clear" w:color="auto" w:fill="FFFFFF"/>
        <w:tabs>
          <w:tab w:val="left" w:pos="1134"/>
        </w:tabs>
        <w:ind w:firstLine="709"/>
        <w:contextualSpacing/>
        <w:rPr>
          <w:lang w:eastAsia="en-US"/>
        </w:rPr>
      </w:pPr>
      <w:r w:rsidRPr="00B35439">
        <w:rPr>
          <w:lang w:eastAsia="en-US"/>
        </w:rPr>
        <w:t xml:space="preserve">прогнозний розрахунок прибутковості страховика та значень виконання </w:t>
      </w:r>
      <w:r w:rsidRPr="00B35439">
        <w:rPr>
          <w:lang w:eastAsia="en-US"/>
        </w:rPr>
        <w:lastRenderedPageBreak/>
        <w:t xml:space="preserve">нормативів, передбачених </w:t>
      </w:r>
      <w:r w:rsidR="00D66473" w:rsidRPr="00B35439">
        <w:rPr>
          <w:lang w:eastAsia="en-US"/>
        </w:rPr>
        <w:t xml:space="preserve">цим </w:t>
      </w:r>
      <w:r w:rsidRPr="00B35439">
        <w:rPr>
          <w:lang w:eastAsia="en-US"/>
        </w:rPr>
        <w:t xml:space="preserve">Положенням; </w:t>
      </w:r>
    </w:p>
    <w:p w14:paraId="6A949205" w14:textId="77777777" w:rsidR="00CD3F38" w:rsidRPr="00B35439" w:rsidRDefault="00CD3F38" w:rsidP="00CD3F38">
      <w:pPr>
        <w:widowControl w:val="0"/>
        <w:shd w:val="clear" w:color="auto" w:fill="FFFFFF"/>
        <w:tabs>
          <w:tab w:val="left" w:pos="1134"/>
        </w:tabs>
        <w:ind w:firstLine="709"/>
        <w:contextualSpacing/>
        <w:rPr>
          <w:lang w:eastAsia="en-US"/>
        </w:rPr>
      </w:pPr>
      <w:r w:rsidRPr="00B35439">
        <w:rPr>
          <w:lang w:eastAsia="en-US"/>
        </w:rPr>
        <w:t xml:space="preserve">первинні напрями використання залучених коштів на умовах субординованого боргу протягом перших шести місяців; </w:t>
      </w:r>
    </w:p>
    <w:p w14:paraId="60B2B38A" w14:textId="77777777" w:rsidR="00CD3F38" w:rsidRPr="00B35439" w:rsidRDefault="00CD3F38" w:rsidP="00CD3F38">
      <w:pPr>
        <w:widowControl w:val="0"/>
        <w:shd w:val="clear" w:color="auto" w:fill="FFFFFF"/>
        <w:tabs>
          <w:tab w:val="left" w:pos="993"/>
          <w:tab w:val="left" w:pos="1134"/>
        </w:tabs>
        <w:ind w:firstLine="709"/>
        <w:contextualSpacing/>
        <w:rPr>
          <w:lang w:eastAsia="en-US"/>
        </w:rPr>
      </w:pPr>
      <w:r w:rsidRPr="00B35439">
        <w:rPr>
          <w:lang w:eastAsia="en-US"/>
        </w:rPr>
        <w:t>обсяг наявних вимог страховика до пов'язаних з інвестором осіб та/або наданих страховиком фінансових/ майнових зобов'язань щодо пов'язаних з інвестором осіб та перелік таких осіб.</w:t>
      </w:r>
    </w:p>
    <w:p w14:paraId="429E9A49" w14:textId="24A6D1E6" w:rsidR="00CD3F38" w:rsidRPr="00B35439" w:rsidRDefault="00CD3F38" w:rsidP="00CD3F38">
      <w:pPr>
        <w:widowControl w:val="0"/>
        <w:shd w:val="clear" w:color="auto" w:fill="FFFFFF"/>
        <w:tabs>
          <w:tab w:val="left" w:pos="1134"/>
        </w:tabs>
        <w:ind w:firstLine="709"/>
        <w:contextualSpacing/>
        <w:rPr>
          <w:lang w:eastAsia="en-US"/>
        </w:rPr>
      </w:pPr>
      <w:r w:rsidRPr="00B35439">
        <w:rPr>
          <w:lang w:eastAsia="en-US"/>
        </w:rPr>
        <w:t>Програма капіталізації страховика затверджується керівником страховика та радою страховика, у разі її створення</w:t>
      </w:r>
      <w:r w:rsidR="007408A1">
        <w:rPr>
          <w:lang w:eastAsia="en-US"/>
        </w:rPr>
        <w:t>.</w:t>
      </w:r>
    </w:p>
    <w:p w14:paraId="5991C499" w14:textId="77777777" w:rsidR="00CD3F38" w:rsidRPr="00B35439" w:rsidRDefault="00CD3F38" w:rsidP="00CD3F38">
      <w:pPr>
        <w:widowControl w:val="0"/>
        <w:shd w:val="clear" w:color="auto" w:fill="FFFFFF"/>
        <w:tabs>
          <w:tab w:val="left" w:pos="993"/>
          <w:tab w:val="left" w:pos="1134"/>
        </w:tabs>
        <w:ind w:firstLine="709"/>
        <w:contextualSpacing/>
        <w:rPr>
          <w:lang w:eastAsia="en-US"/>
        </w:rPr>
      </w:pPr>
    </w:p>
    <w:p w14:paraId="6BCC3FB3" w14:textId="0A7A3F53" w:rsidR="00CD3F38" w:rsidRPr="00B35439" w:rsidRDefault="00CD3F38" w:rsidP="00CD3F38">
      <w:pPr>
        <w:widowControl w:val="0"/>
        <w:numPr>
          <w:ilvl w:val="0"/>
          <w:numId w:val="4"/>
        </w:numPr>
        <w:tabs>
          <w:tab w:val="left" w:pos="1134"/>
        </w:tabs>
        <w:ind w:left="0" w:firstLine="709"/>
        <w:outlineLvl w:val="1"/>
        <w:rPr>
          <w:lang w:eastAsia="en-US"/>
        </w:rPr>
      </w:pPr>
      <w:r w:rsidRPr="00B35439">
        <w:rPr>
          <w:lang w:eastAsia="en-GB"/>
        </w:rPr>
        <w:t xml:space="preserve">Страховик подає </w:t>
      </w:r>
      <w:r w:rsidRPr="00B35439">
        <w:rPr>
          <w:lang w:eastAsia="en-US"/>
        </w:rPr>
        <w:t xml:space="preserve">документи в межах процедур, передбачених розділом VІ цього Положення, до Національного банку з дотриманням вимог до документів, що подаються до Національного банку, передбачених нормативно-правовим актом Національного банку з питань ліцензування та </w:t>
      </w:r>
      <w:r w:rsidRPr="00B35439">
        <w:rPr>
          <w:color w:val="000000"/>
        </w:rPr>
        <w:t>реєстрації надавачів фінансових послуг та умов провадження ними діяльності з надання фінансових послуг</w:t>
      </w:r>
      <w:r w:rsidRPr="00B35439">
        <w:rPr>
          <w:lang w:eastAsia="en-US"/>
        </w:rPr>
        <w:t>.</w:t>
      </w:r>
    </w:p>
    <w:p w14:paraId="15B4A48D" w14:textId="77777777" w:rsidR="00CD3F38" w:rsidRPr="00B35439" w:rsidRDefault="00CD3F38" w:rsidP="00CD3F38">
      <w:pPr>
        <w:widowControl w:val="0"/>
        <w:shd w:val="clear" w:color="auto" w:fill="FFFFFF"/>
        <w:tabs>
          <w:tab w:val="left" w:pos="1134"/>
        </w:tabs>
        <w:ind w:firstLine="709"/>
        <w:contextualSpacing/>
        <w:rPr>
          <w:lang w:eastAsia="en-GB"/>
        </w:rPr>
      </w:pPr>
      <w:r w:rsidRPr="00B35439">
        <w:rPr>
          <w:lang w:eastAsia="en-US"/>
        </w:rPr>
        <w:t xml:space="preserve">Документи, що подаються страховиком в електронній формі, надсилаються </w:t>
      </w:r>
      <w:r w:rsidRPr="00B35439">
        <w:rPr>
          <w:lang w:eastAsia="en-GB"/>
        </w:rPr>
        <w:t>електронним повідомленням на офіційну електронну поштову скриньку Національного банку nbu@bank.gov.ua.</w:t>
      </w:r>
    </w:p>
    <w:p w14:paraId="4E1965B3" w14:textId="77777777" w:rsidR="00CD3F38" w:rsidRPr="00B35439" w:rsidRDefault="00CD3F38" w:rsidP="00CD3F38">
      <w:pPr>
        <w:widowControl w:val="0"/>
        <w:shd w:val="clear" w:color="auto" w:fill="FFFFFF"/>
        <w:tabs>
          <w:tab w:val="left" w:pos="993"/>
          <w:tab w:val="left" w:pos="1134"/>
        </w:tabs>
        <w:ind w:firstLine="709"/>
        <w:contextualSpacing/>
        <w:rPr>
          <w:lang w:eastAsia="en-US"/>
        </w:rPr>
      </w:pPr>
    </w:p>
    <w:p w14:paraId="3F5F71DF" w14:textId="278A3C19" w:rsidR="00CD3F38" w:rsidRPr="00B35439" w:rsidRDefault="00CD3F38" w:rsidP="00CD3F38">
      <w:pPr>
        <w:widowControl w:val="0"/>
        <w:numPr>
          <w:ilvl w:val="0"/>
          <w:numId w:val="4"/>
        </w:numPr>
        <w:tabs>
          <w:tab w:val="left" w:pos="1134"/>
        </w:tabs>
        <w:ind w:left="0" w:firstLine="709"/>
        <w:outlineLvl w:val="1"/>
        <w:rPr>
          <w:lang w:eastAsia="en-US"/>
        </w:rPr>
      </w:pPr>
      <w:r w:rsidRPr="00B35439">
        <w:rPr>
          <w:lang w:eastAsia="en-US"/>
        </w:rPr>
        <w:t>Угода (договір) про залучення коштів на умовах субординованого боргу для отримання Дозволу має відповідати вимогам, визначеним в пунктах 3</w:t>
      </w:r>
      <w:r w:rsidR="00B6012A" w:rsidRPr="00B35439">
        <w:rPr>
          <w:lang w:eastAsia="en-US"/>
        </w:rPr>
        <w:t>6</w:t>
      </w:r>
      <w:r w:rsidRPr="00B35439">
        <w:rPr>
          <w:lang w:eastAsia="en-US"/>
        </w:rPr>
        <w:t xml:space="preserve"> – 4</w:t>
      </w:r>
      <w:r w:rsidR="00B6012A" w:rsidRPr="00B35439">
        <w:rPr>
          <w:lang w:eastAsia="en-US"/>
        </w:rPr>
        <w:t>1</w:t>
      </w:r>
      <w:r w:rsidRPr="00B35439">
        <w:rPr>
          <w:lang w:eastAsia="en-US"/>
        </w:rPr>
        <w:t xml:space="preserve"> розділу VІ до цього Положення.</w:t>
      </w:r>
    </w:p>
    <w:p w14:paraId="4BA05CCA" w14:textId="77777777" w:rsidR="00CD3F38" w:rsidRPr="00B35439" w:rsidRDefault="00CD3F38" w:rsidP="00CD3F38">
      <w:pPr>
        <w:widowControl w:val="0"/>
        <w:shd w:val="clear" w:color="auto" w:fill="FFFFFF"/>
        <w:tabs>
          <w:tab w:val="left" w:pos="993"/>
          <w:tab w:val="left" w:pos="1134"/>
        </w:tabs>
        <w:ind w:firstLine="709"/>
        <w:contextualSpacing/>
        <w:rPr>
          <w:lang w:eastAsia="en-US"/>
        </w:rPr>
      </w:pPr>
      <w:r w:rsidRPr="00B35439">
        <w:rPr>
          <w:lang w:eastAsia="en-US"/>
        </w:rPr>
        <w:t xml:space="preserve"> </w:t>
      </w:r>
    </w:p>
    <w:p w14:paraId="621496FC" w14:textId="77777777" w:rsidR="00CD3F38" w:rsidRPr="00B35439" w:rsidRDefault="00CD3F38" w:rsidP="00CD3F38">
      <w:pPr>
        <w:widowControl w:val="0"/>
        <w:numPr>
          <w:ilvl w:val="0"/>
          <w:numId w:val="4"/>
        </w:numPr>
        <w:tabs>
          <w:tab w:val="left" w:pos="1134"/>
        </w:tabs>
        <w:ind w:left="0" w:firstLine="709"/>
        <w:outlineLvl w:val="1"/>
        <w:rPr>
          <w:lang w:eastAsia="en-US"/>
        </w:rPr>
      </w:pPr>
      <w:r w:rsidRPr="00B35439">
        <w:rPr>
          <w:lang w:eastAsia="en-US"/>
        </w:rPr>
        <w:t>Кошти на умовах субординованого боргу залучаються на визначений строк, але не менше ніж п'ять років.</w:t>
      </w:r>
    </w:p>
    <w:p w14:paraId="4AF12713" w14:textId="77777777" w:rsidR="00CD3F38" w:rsidRPr="00B35439" w:rsidRDefault="00CD3F38" w:rsidP="00CD3F38">
      <w:pPr>
        <w:widowControl w:val="0"/>
        <w:tabs>
          <w:tab w:val="left" w:pos="1134"/>
        </w:tabs>
        <w:ind w:firstLine="709"/>
        <w:contextualSpacing/>
        <w:rPr>
          <w:lang w:eastAsia="en-US"/>
        </w:rPr>
      </w:pPr>
    </w:p>
    <w:p w14:paraId="2074E277" w14:textId="77777777" w:rsidR="00CD3F38" w:rsidRPr="00B35439" w:rsidRDefault="00CD3F38" w:rsidP="00CD3F38">
      <w:pPr>
        <w:widowControl w:val="0"/>
        <w:numPr>
          <w:ilvl w:val="0"/>
          <w:numId w:val="4"/>
        </w:numPr>
        <w:tabs>
          <w:tab w:val="left" w:pos="1134"/>
        </w:tabs>
        <w:ind w:left="0" w:firstLine="709"/>
        <w:outlineLvl w:val="1"/>
        <w:rPr>
          <w:lang w:eastAsia="en-US"/>
        </w:rPr>
      </w:pPr>
      <w:r w:rsidRPr="00B35439">
        <w:rPr>
          <w:lang w:eastAsia="en-US"/>
        </w:rPr>
        <w:t xml:space="preserve">Розмір процентної ставки за </w:t>
      </w:r>
      <w:proofErr w:type="spellStart"/>
      <w:r w:rsidRPr="00B35439">
        <w:rPr>
          <w:lang w:eastAsia="en-US"/>
        </w:rPr>
        <w:t>субординованим</w:t>
      </w:r>
      <w:proofErr w:type="spellEnd"/>
      <w:r w:rsidRPr="00B35439">
        <w:rPr>
          <w:lang w:eastAsia="en-US"/>
        </w:rPr>
        <w:t xml:space="preserve"> боргом може бути збільшений у разі продовження строку дії угоди (договору), але за умови, що таке подовження здійснюється не раніше ніж через п’ять років з дати залучення коштів за угодою (договором).</w:t>
      </w:r>
    </w:p>
    <w:p w14:paraId="3F20AB8C" w14:textId="77777777" w:rsidR="00CD3F38" w:rsidRPr="00B35439" w:rsidRDefault="00CD3F38" w:rsidP="00CD3F38">
      <w:pPr>
        <w:widowControl w:val="0"/>
        <w:shd w:val="clear" w:color="auto" w:fill="FFFFFF"/>
        <w:tabs>
          <w:tab w:val="left" w:pos="993"/>
          <w:tab w:val="left" w:pos="1134"/>
        </w:tabs>
        <w:ind w:firstLine="709"/>
        <w:rPr>
          <w:lang w:eastAsia="en-US"/>
        </w:rPr>
      </w:pPr>
    </w:p>
    <w:p w14:paraId="6361FC2A" w14:textId="77777777" w:rsidR="00CD3F38" w:rsidRPr="00B35439" w:rsidRDefault="00CD3F38" w:rsidP="00CD3F38">
      <w:pPr>
        <w:widowControl w:val="0"/>
        <w:numPr>
          <w:ilvl w:val="0"/>
          <w:numId w:val="4"/>
        </w:numPr>
        <w:tabs>
          <w:tab w:val="left" w:pos="1134"/>
        </w:tabs>
        <w:ind w:left="0" w:firstLine="709"/>
        <w:outlineLvl w:val="1"/>
        <w:rPr>
          <w:lang w:eastAsia="en-US"/>
        </w:rPr>
      </w:pPr>
      <w:r w:rsidRPr="00B35439">
        <w:rPr>
          <w:lang w:eastAsia="en-US"/>
        </w:rPr>
        <w:t xml:space="preserve">Капіталізація процентів за </w:t>
      </w:r>
      <w:proofErr w:type="spellStart"/>
      <w:r w:rsidRPr="00B35439">
        <w:rPr>
          <w:lang w:eastAsia="en-US"/>
        </w:rPr>
        <w:t>субординованим</w:t>
      </w:r>
      <w:proofErr w:type="spellEnd"/>
      <w:r w:rsidRPr="00B35439">
        <w:rPr>
          <w:lang w:eastAsia="en-US"/>
        </w:rPr>
        <w:t xml:space="preserve"> боргом не допускається.</w:t>
      </w:r>
    </w:p>
    <w:p w14:paraId="4113BD16" w14:textId="77777777" w:rsidR="00CD3F38" w:rsidRPr="00B35439" w:rsidRDefault="00CD3F38" w:rsidP="00CD3F38">
      <w:pPr>
        <w:widowControl w:val="0"/>
        <w:shd w:val="clear" w:color="auto" w:fill="FFFFFF"/>
        <w:tabs>
          <w:tab w:val="left" w:pos="993"/>
          <w:tab w:val="left" w:pos="1134"/>
        </w:tabs>
        <w:ind w:firstLine="709"/>
        <w:contextualSpacing/>
        <w:rPr>
          <w:lang w:eastAsia="en-US"/>
        </w:rPr>
      </w:pPr>
    </w:p>
    <w:p w14:paraId="2D49C910" w14:textId="77777777" w:rsidR="00CD3F38" w:rsidRPr="00B35439" w:rsidRDefault="00CD3F38" w:rsidP="00CD3F38">
      <w:pPr>
        <w:widowControl w:val="0"/>
        <w:numPr>
          <w:ilvl w:val="0"/>
          <w:numId w:val="4"/>
        </w:numPr>
        <w:tabs>
          <w:tab w:val="left" w:pos="1134"/>
        </w:tabs>
        <w:ind w:left="0" w:firstLine="709"/>
        <w:outlineLvl w:val="1"/>
        <w:rPr>
          <w:lang w:eastAsia="en-US"/>
        </w:rPr>
      </w:pPr>
      <w:r w:rsidRPr="00B35439">
        <w:rPr>
          <w:lang w:eastAsia="en-US"/>
        </w:rPr>
        <w:t xml:space="preserve">Нарахування процентів за </w:t>
      </w:r>
      <w:proofErr w:type="spellStart"/>
      <w:r w:rsidRPr="00B35439">
        <w:rPr>
          <w:lang w:eastAsia="en-US"/>
        </w:rPr>
        <w:t>субординованим</w:t>
      </w:r>
      <w:proofErr w:type="spellEnd"/>
      <w:r w:rsidRPr="00B35439">
        <w:rPr>
          <w:lang w:eastAsia="en-US"/>
        </w:rPr>
        <w:t xml:space="preserve"> боргом здійснюється щомісяця згідно з міжнародними стандартами бухгалтерського обліку та фінансової звітності.</w:t>
      </w:r>
    </w:p>
    <w:p w14:paraId="02B33D03" w14:textId="77777777" w:rsidR="00CD3F38" w:rsidRPr="00B35439" w:rsidRDefault="00CD3F38" w:rsidP="00CD3F38">
      <w:pPr>
        <w:widowControl w:val="0"/>
        <w:shd w:val="clear" w:color="auto" w:fill="FFFFFF"/>
        <w:tabs>
          <w:tab w:val="left" w:pos="993"/>
          <w:tab w:val="left" w:pos="1134"/>
        </w:tabs>
        <w:ind w:firstLine="709"/>
        <w:rPr>
          <w:lang w:eastAsia="en-US"/>
        </w:rPr>
      </w:pPr>
      <w:r w:rsidRPr="00B35439">
        <w:rPr>
          <w:lang w:eastAsia="en-US"/>
        </w:rPr>
        <w:t xml:space="preserve"> </w:t>
      </w:r>
    </w:p>
    <w:p w14:paraId="31385988" w14:textId="77777777" w:rsidR="00CD3F38" w:rsidRPr="00B35439" w:rsidRDefault="00CD3F38" w:rsidP="00CD3F38">
      <w:pPr>
        <w:widowControl w:val="0"/>
        <w:numPr>
          <w:ilvl w:val="0"/>
          <w:numId w:val="4"/>
        </w:numPr>
        <w:tabs>
          <w:tab w:val="left" w:pos="1134"/>
        </w:tabs>
        <w:ind w:left="0" w:firstLine="709"/>
        <w:outlineLvl w:val="1"/>
        <w:rPr>
          <w:lang w:eastAsia="en-US"/>
        </w:rPr>
      </w:pPr>
      <w:r w:rsidRPr="00B35439">
        <w:rPr>
          <w:lang w:eastAsia="en-US"/>
        </w:rPr>
        <w:t>Угода (договір) мають містити такі умови:</w:t>
      </w:r>
    </w:p>
    <w:p w14:paraId="59CF8E26" w14:textId="77777777" w:rsidR="00CD3F38" w:rsidRPr="00B35439" w:rsidRDefault="00CD3F38" w:rsidP="00CD3F38">
      <w:pPr>
        <w:widowControl w:val="0"/>
        <w:tabs>
          <w:tab w:val="left" w:pos="1134"/>
        </w:tabs>
        <w:ind w:firstLine="709"/>
        <w:contextualSpacing/>
        <w:rPr>
          <w:lang w:eastAsia="en-US"/>
        </w:rPr>
      </w:pPr>
    </w:p>
    <w:p w14:paraId="0A8D2D30" w14:textId="77777777" w:rsidR="00CD3F38" w:rsidRPr="00B35439" w:rsidRDefault="00CD3F38" w:rsidP="00CD3F38">
      <w:pPr>
        <w:widowControl w:val="0"/>
        <w:numPr>
          <w:ilvl w:val="1"/>
          <w:numId w:val="16"/>
        </w:numPr>
        <w:shd w:val="clear" w:color="auto" w:fill="FFFFFF"/>
        <w:tabs>
          <w:tab w:val="left" w:pos="1134"/>
        </w:tabs>
        <w:ind w:left="0" w:firstLine="709"/>
        <w:contextualSpacing/>
        <w:rPr>
          <w:lang w:eastAsia="en-US"/>
        </w:rPr>
      </w:pPr>
      <w:r w:rsidRPr="00B35439">
        <w:rPr>
          <w:lang w:eastAsia="en-US"/>
        </w:rPr>
        <w:t>на період чинності угоди (договору) страховик не має права укладати договорів, за якими у страховика виникає/може виникнути:</w:t>
      </w:r>
    </w:p>
    <w:p w14:paraId="650B34B2" w14:textId="77777777" w:rsidR="00CD3F38" w:rsidRPr="00B35439" w:rsidRDefault="00CD3F38" w:rsidP="00CD3F38">
      <w:pPr>
        <w:widowControl w:val="0"/>
        <w:shd w:val="clear" w:color="auto" w:fill="FFFFFF"/>
        <w:tabs>
          <w:tab w:val="left" w:pos="993"/>
          <w:tab w:val="left" w:pos="1134"/>
        </w:tabs>
        <w:ind w:firstLine="709"/>
        <w:rPr>
          <w:lang w:eastAsia="en-US"/>
        </w:rPr>
      </w:pPr>
      <w:r w:rsidRPr="00B35439">
        <w:rPr>
          <w:lang w:eastAsia="en-US"/>
        </w:rPr>
        <w:t xml:space="preserve">обов'язок щодо передавання інвестору коштів/майна та/або виконання </w:t>
      </w:r>
      <w:r w:rsidRPr="00B35439">
        <w:rPr>
          <w:lang w:eastAsia="en-US"/>
        </w:rPr>
        <w:lastRenderedPageBreak/>
        <w:t xml:space="preserve">фінансових/майнових зобов'язань щодо інвестора (крім тих випадків, якщо таке передавання страховиком майна є сплатою процентів за залученим </w:t>
      </w:r>
      <w:proofErr w:type="spellStart"/>
      <w:r w:rsidRPr="00B35439">
        <w:rPr>
          <w:lang w:eastAsia="en-US"/>
        </w:rPr>
        <w:t>субординованим</w:t>
      </w:r>
      <w:proofErr w:type="spellEnd"/>
      <w:r w:rsidRPr="00B35439">
        <w:rPr>
          <w:lang w:eastAsia="en-US"/>
        </w:rPr>
        <w:t xml:space="preserve"> боргом) або</w:t>
      </w:r>
    </w:p>
    <w:p w14:paraId="79F17B95" w14:textId="77777777" w:rsidR="00CD3F38" w:rsidRPr="00B35439" w:rsidRDefault="00CD3F38" w:rsidP="00CD3F38">
      <w:pPr>
        <w:widowControl w:val="0"/>
        <w:shd w:val="clear" w:color="auto" w:fill="FFFFFF"/>
        <w:tabs>
          <w:tab w:val="left" w:pos="993"/>
          <w:tab w:val="left" w:pos="1134"/>
        </w:tabs>
        <w:ind w:firstLine="709"/>
        <w:rPr>
          <w:lang w:eastAsia="en-US"/>
        </w:rPr>
      </w:pPr>
      <w:r w:rsidRPr="00B35439">
        <w:rPr>
          <w:lang w:eastAsia="en-US"/>
        </w:rPr>
        <w:t>право вимоги до інвестора (крім договорів, за якими страховик залучає кошти від інвестора).</w:t>
      </w:r>
    </w:p>
    <w:p w14:paraId="401F0B0D" w14:textId="7D3045E6" w:rsidR="00CD3F38" w:rsidRPr="00B35439" w:rsidRDefault="00CD3F38" w:rsidP="00CD3F38">
      <w:pPr>
        <w:widowControl w:val="0"/>
        <w:shd w:val="clear" w:color="auto" w:fill="FFFFFF"/>
        <w:tabs>
          <w:tab w:val="left" w:pos="993"/>
          <w:tab w:val="left" w:pos="1134"/>
        </w:tabs>
        <w:ind w:firstLine="709"/>
        <w:rPr>
          <w:lang w:eastAsia="en-US"/>
        </w:rPr>
      </w:pPr>
      <w:r w:rsidRPr="00B35439">
        <w:rPr>
          <w:lang w:eastAsia="en-US"/>
        </w:rPr>
        <w:t xml:space="preserve">Вимоги, зазначені в підпункті 1 пункту </w:t>
      </w:r>
      <w:r w:rsidR="00B6012A" w:rsidRPr="00B35439">
        <w:rPr>
          <w:lang w:eastAsia="en-US"/>
        </w:rPr>
        <w:t>40</w:t>
      </w:r>
      <w:r w:rsidRPr="00B35439">
        <w:rPr>
          <w:lang w:eastAsia="en-US"/>
        </w:rPr>
        <w:t xml:space="preserve"> розділу VІ до цього Положення, не поширюються на випадки, коли інвестором є міжнародна фінансова установа;</w:t>
      </w:r>
    </w:p>
    <w:p w14:paraId="01F7B862" w14:textId="77777777" w:rsidR="00CD3F38" w:rsidRPr="00B35439" w:rsidRDefault="00CD3F38" w:rsidP="00CD3F38">
      <w:pPr>
        <w:widowControl w:val="0"/>
        <w:shd w:val="clear" w:color="auto" w:fill="FFFFFF"/>
        <w:tabs>
          <w:tab w:val="left" w:pos="1134"/>
        </w:tabs>
        <w:ind w:firstLine="709"/>
        <w:contextualSpacing/>
        <w:rPr>
          <w:lang w:eastAsia="en-US"/>
        </w:rPr>
      </w:pPr>
    </w:p>
    <w:p w14:paraId="17694618" w14:textId="6D8AC76F" w:rsidR="00CD3F38" w:rsidRPr="00B35439" w:rsidRDefault="00CD3F38" w:rsidP="00CD3F38">
      <w:pPr>
        <w:widowControl w:val="0"/>
        <w:numPr>
          <w:ilvl w:val="1"/>
          <w:numId w:val="16"/>
        </w:numPr>
        <w:shd w:val="clear" w:color="auto" w:fill="FFFFFF"/>
        <w:tabs>
          <w:tab w:val="left" w:pos="1134"/>
        </w:tabs>
        <w:ind w:left="0" w:firstLine="709"/>
        <w:contextualSpacing/>
        <w:rPr>
          <w:lang w:eastAsia="en-US"/>
        </w:rPr>
      </w:pPr>
      <w:r w:rsidRPr="00B35439">
        <w:rPr>
          <w:lang w:eastAsia="en-US"/>
        </w:rPr>
        <w:t xml:space="preserve">кошти, що залучені на умовах субординованого боргу, не можуть бути </w:t>
      </w:r>
      <w:r w:rsidR="00EF08E5" w:rsidRPr="00B35439">
        <w:rPr>
          <w:lang w:eastAsia="en-US"/>
        </w:rPr>
        <w:t xml:space="preserve">надані </w:t>
      </w:r>
      <w:r w:rsidRPr="00B35439">
        <w:rPr>
          <w:lang w:eastAsia="en-US"/>
        </w:rPr>
        <w:t xml:space="preserve">страховиком </w:t>
      </w:r>
      <w:r w:rsidR="00967849" w:rsidRPr="00B35439">
        <w:rPr>
          <w:lang w:eastAsia="en-US"/>
        </w:rPr>
        <w:t xml:space="preserve">у заставу </w:t>
      </w:r>
      <w:r w:rsidRPr="00B35439">
        <w:rPr>
          <w:lang w:eastAsia="en-US"/>
        </w:rPr>
        <w:t>за кредитами та іншими операціями страховика;</w:t>
      </w:r>
    </w:p>
    <w:p w14:paraId="3CB2CCEE" w14:textId="77777777" w:rsidR="00CD3F38" w:rsidRPr="00B35439" w:rsidRDefault="00CD3F38" w:rsidP="00CD3F38">
      <w:pPr>
        <w:widowControl w:val="0"/>
        <w:shd w:val="clear" w:color="auto" w:fill="FFFFFF"/>
        <w:tabs>
          <w:tab w:val="left" w:pos="1134"/>
        </w:tabs>
        <w:ind w:firstLine="709"/>
        <w:rPr>
          <w:lang w:eastAsia="en-US"/>
        </w:rPr>
      </w:pPr>
    </w:p>
    <w:p w14:paraId="326C9882" w14:textId="77777777" w:rsidR="00CD3F38" w:rsidRPr="00B35439" w:rsidRDefault="00CD3F38" w:rsidP="00CD3F38">
      <w:pPr>
        <w:widowControl w:val="0"/>
        <w:numPr>
          <w:ilvl w:val="1"/>
          <w:numId w:val="16"/>
        </w:numPr>
        <w:shd w:val="clear" w:color="auto" w:fill="FFFFFF"/>
        <w:tabs>
          <w:tab w:val="left" w:pos="1134"/>
        </w:tabs>
        <w:ind w:left="0" w:firstLine="709"/>
        <w:contextualSpacing/>
        <w:rPr>
          <w:lang w:eastAsia="en-US"/>
        </w:rPr>
      </w:pPr>
      <w:r w:rsidRPr="00B35439">
        <w:rPr>
          <w:lang w:eastAsia="en-US"/>
        </w:rPr>
        <w:t>зарахування зустрічних однорідних вимог за угодою (договором) про залучення субординованого боргу не дозволяється;</w:t>
      </w:r>
    </w:p>
    <w:p w14:paraId="0B238919" w14:textId="77777777" w:rsidR="00CD3F38" w:rsidRPr="00B35439" w:rsidRDefault="00CD3F38" w:rsidP="00CD3F38">
      <w:pPr>
        <w:ind w:firstLine="709"/>
        <w:contextualSpacing/>
        <w:rPr>
          <w:lang w:eastAsia="en-US"/>
        </w:rPr>
      </w:pPr>
    </w:p>
    <w:p w14:paraId="6D4F3DB3" w14:textId="77777777" w:rsidR="00CD3F38" w:rsidRPr="00B35439" w:rsidRDefault="00CD3F38" w:rsidP="00CD3F38">
      <w:pPr>
        <w:widowControl w:val="0"/>
        <w:numPr>
          <w:ilvl w:val="1"/>
          <w:numId w:val="16"/>
        </w:numPr>
        <w:shd w:val="clear" w:color="auto" w:fill="FFFFFF"/>
        <w:tabs>
          <w:tab w:val="left" w:pos="1134"/>
        </w:tabs>
        <w:ind w:left="0" w:firstLine="709"/>
        <w:contextualSpacing/>
        <w:rPr>
          <w:lang w:eastAsia="en-US"/>
        </w:rPr>
      </w:pPr>
      <w:r w:rsidRPr="00B35439">
        <w:rPr>
          <w:lang w:eastAsia="en-US"/>
        </w:rPr>
        <w:t>авансова сплата процентів за залученими коштами на умовах субординованого боргу та/або встановлення комісії за дострокове розірвання угоди (договору) не дозволяються;</w:t>
      </w:r>
    </w:p>
    <w:p w14:paraId="13FEF005" w14:textId="77777777" w:rsidR="00CD3F38" w:rsidRPr="00B35439" w:rsidRDefault="00CD3F38" w:rsidP="00CD3F38">
      <w:pPr>
        <w:widowControl w:val="0"/>
        <w:shd w:val="clear" w:color="auto" w:fill="FFFFFF"/>
        <w:tabs>
          <w:tab w:val="left" w:pos="1134"/>
        </w:tabs>
        <w:ind w:firstLine="709"/>
        <w:contextualSpacing/>
        <w:rPr>
          <w:lang w:eastAsia="en-US"/>
        </w:rPr>
      </w:pPr>
    </w:p>
    <w:p w14:paraId="364AAA30" w14:textId="48D55CC1" w:rsidR="00CD3F38" w:rsidRPr="00B35439" w:rsidRDefault="00CD3F38" w:rsidP="00CD3F38">
      <w:pPr>
        <w:widowControl w:val="0"/>
        <w:numPr>
          <w:ilvl w:val="1"/>
          <w:numId w:val="16"/>
        </w:numPr>
        <w:shd w:val="clear" w:color="auto" w:fill="FFFFFF"/>
        <w:tabs>
          <w:tab w:val="left" w:pos="1134"/>
        </w:tabs>
        <w:ind w:left="0" w:firstLine="709"/>
        <w:contextualSpacing/>
        <w:rPr>
          <w:lang w:eastAsia="en-US"/>
        </w:rPr>
      </w:pPr>
      <w:r w:rsidRPr="00B35439">
        <w:rPr>
          <w:lang w:eastAsia="en-US"/>
        </w:rPr>
        <w:t xml:space="preserve">дострокове погашення субординованого боргу в повному обсязі або частково може відбуватися за ініціативою страховика та за згодою інвестора за умови отримання </w:t>
      </w:r>
      <w:r w:rsidR="00007D79" w:rsidRPr="00B35439">
        <w:rPr>
          <w:lang w:eastAsia="en-US"/>
        </w:rPr>
        <w:t>Д</w:t>
      </w:r>
      <w:r w:rsidRPr="00B35439">
        <w:rPr>
          <w:lang w:eastAsia="en-US"/>
        </w:rPr>
        <w:t>озволу.</w:t>
      </w:r>
    </w:p>
    <w:p w14:paraId="696FBA05" w14:textId="77777777" w:rsidR="00CD3F38" w:rsidRPr="00B35439" w:rsidRDefault="00CD3F38" w:rsidP="00CD3F38">
      <w:pPr>
        <w:widowControl w:val="0"/>
        <w:shd w:val="clear" w:color="auto" w:fill="FFFFFF"/>
        <w:tabs>
          <w:tab w:val="left" w:pos="993"/>
          <w:tab w:val="left" w:pos="1134"/>
        </w:tabs>
        <w:ind w:firstLine="709"/>
        <w:rPr>
          <w:lang w:eastAsia="en-US"/>
        </w:rPr>
      </w:pPr>
    </w:p>
    <w:p w14:paraId="7E402FB3" w14:textId="1CE2CFE6" w:rsidR="00CD3F38" w:rsidRPr="00B35439" w:rsidRDefault="00CD3F38" w:rsidP="00CD3F38">
      <w:pPr>
        <w:widowControl w:val="0"/>
        <w:numPr>
          <w:ilvl w:val="0"/>
          <w:numId w:val="4"/>
        </w:numPr>
        <w:tabs>
          <w:tab w:val="left" w:pos="1134"/>
        </w:tabs>
        <w:ind w:left="0" w:firstLine="709"/>
        <w:outlineLvl w:val="1"/>
        <w:rPr>
          <w:lang w:eastAsia="en-US"/>
        </w:rPr>
      </w:pPr>
      <w:r w:rsidRPr="00B35439">
        <w:rPr>
          <w:lang w:eastAsia="en-US"/>
        </w:rPr>
        <w:t>Сукупний обсяг вимог страховика до пов'язаних з інвестором осіб та/або н</w:t>
      </w:r>
      <w:r w:rsidR="00B35439" w:rsidRPr="00B35439">
        <w:rPr>
          <w:lang w:eastAsia="en-US"/>
        </w:rPr>
        <w:t xml:space="preserve">аданих страховиком фінансових/ </w:t>
      </w:r>
      <w:r w:rsidRPr="00B35439">
        <w:rPr>
          <w:lang w:eastAsia="en-US"/>
        </w:rPr>
        <w:t>майнових зобов'язань щодо пов'язаних з інвестором осіб на період чинності укладеної угоди не може перевищувати п'яти відсотків фактичного запасу платоспроможності страховика.</w:t>
      </w:r>
    </w:p>
    <w:p w14:paraId="7F72D6B7" w14:textId="77777777" w:rsidR="00CD3F38" w:rsidRPr="00B35439" w:rsidRDefault="00CD3F38" w:rsidP="00CD3F38">
      <w:pPr>
        <w:widowControl w:val="0"/>
        <w:shd w:val="clear" w:color="auto" w:fill="FFFFFF"/>
        <w:tabs>
          <w:tab w:val="left" w:pos="1134"/>
        </w:tabs>
        <w:ind w:firstLine="709"/>
        <w:contextualSpacing/>
        <w:rPr>
          <w:lang w:eastAsia="en-US"/>
        </w:rPr>
      </w:pPr>
    </w:p>
    <w:p w14:paraId="73A431E0" w14:textId="75576B77" w:rsidR="00CD3F38" w:rsidRPr="00B35439" w:rsidRDefault="00CD3F38" w:rsidP="00CD3F38">
      <w:pPr>
        <w:widowControl w:val="0"/>
        <w:numPr>
          <w:ilvl w:val="0"/>
          <w:numId w:val="4"/>
        </w:numPr>
        <w:tabs>
          <w:tab w:val="left" w:pos="1134"/>
        </w:tabs>
        <w:ind w:left="0" w:firstLine="709"/>
        <w:outlineLvl w:val="1"/>
        <w:rPr>
          <w:rFonts w:eastAsia="Calibri"/>
          <w:lang w:eastAsia="en-US"/>
        </w:rPr>
      </w:pPr>
      <w:r w:rsidRPr="00B35439">
        <w:rPr>
          <w:rFonts w:eastAsia="Calibri"/>
          <w:lang w:eastAsia="en-US"/>
        </w:rPr>
        <w:t>Національний банк здійснює розгляд поданого страховиком пакета документів в порядку, визначеному пунктами 4</w:t>
      </w:r>
      <w:r w:rsidR="00B6012A" w:rsidRPr="00B35439">
        <w:rPr>
          <w:rFonts w:eastAsia="Calibri"/>
          <w:lang w:eastAsia="en-US"/>
        </w:rPr>
        <w:t>3</w:t>
      </w:r>
      <w:r w:rsidRPr="00B35439">
        <w:rPr>
          <w:rFonts w:eastAsia="Calibri"/>
          <w:lang w:eastAsia="en-US"/>
        </w:rPr>
        <w:t xml:space="preserve"> – 5</w:t>
      </w:r>
      <w:r w:rsidR="00B6012A" w:rsidRPr="00B35439">
        <w:rPr>
          <w:rFonts w:eastAsia="Calibri"/>
          <w:lang w:eastAsia="en-US"/>
        </w:rPr>
        <w:t>1</w:t>
      </w:r>
      <w:r w:rsidRPr="00B35439">
        <w:rPr>
          <w:rFonts w:eastAsia="Calibri"/>
          <w:lang w:eastAsia="en-US"/>
        </w:rPr>
        <w:t xml:space="preserve"> розділ</w:t>
      </w:r>
      <w:r w:rsidR="00F0718B" w:rsidRPr="00B35439">
        <w:rPr>
          <w:rFonts w:eastAsia="Calibri"/>
          <w:lang w:eastAsia="en-US"/>
        </w:rPr>
        <w:t>у</w:t>
      </w:r>
      <w:r w:rsidRPr="00B35439">
        <w:rPr>
          <w:rFonts w:eastAsia="Calibri"/>
          <w:lang w:eastAsia="en-US"/>
        </w:rPr>
        <w:t xml:space="preserve"> VI цього Положення, протягом строку, визначеного розділом VI цього Положенням для відповідної процедури.</w:t>
      </w:r>
    </w:p>
    <w:p w14:paraId="7D1A40E7" w14:textId="77777777" w:rsidR="00CD3F38" w:rsidRPr="00B35439" w:rsidRDefault="00CD3F38" w:rsidP="00CD3F38">
      <w:pPr>
        <w:widowControl w:val="0"/>
        <w:shd w:val="clear" w:color="auto" w:fill="FFFFFF"/>
        <w:tabs>
          <w:tab w:val="left" w:pos="993"/>
          <w:tab w:val="left" w:pos="1134"/>
        </w:tabs>
        <w:ind w:firstLine="709"/>
        <w:rPr>
          <w:lang w:eastAsia="ru-RU"/>
        </w:rPr>
      </w:pPr>
      <w:bookmarkStart w:id="437" w:name="bookmark=id.34g0dwd" w:colFirst="0" w:colLast="0"/>
      <w:bookmarkEnd w:id="437"/>
      <w:r w:rsidRPr="00B35439">
        <w:rPr>
          <w:lang w:eastAsia="ru-RU"/>
        </w:rPr>
        <w:t>Перебіг строку розгляду документів починається з дня, наступного за датою подання страховиком до Національного банку повного пакета документів, визначеного цим Положенням.</w:t>
      </w:r>
    </w:p>
    <w:p w14:paraId="7338D8B9" w14:textId="77777777" w:rsidR="00CD3F38" w:rsidRPr="00B35439" w:rsidRDefault="00CD3F38" w:rsidP="00CD3F38">
      <w:pPr>
        <w:pBdr>
          <w:top w:val="nil"/>
          <w:left w:val="nil"/>
          <w:bottom w:val="nil"/>
          <w:right w:val="nil"/>
          <w:between w:val="nil"/>
        </w:pBdr>
        <w:tabs>
          <w:tab w:val="left" w:pos="1134"/>
        </w:tabs>
        <w:ind w:firstLine="709"/>
        <w:rPr>
          <w:lang w:eastAsia="ru-RU"/>
        </w:rPr>
      </w:pPr>
    </w:p>
    <w:p w14:paraId="66DF2651" w14:textId="63B20A0D" w:rsidR="00CD3F38" w:rsidRPr="00B35439" w:rsidRDefault="00CD3F38" w:rsidP="00CD3F38">
      <w:pPr>
        <w:widowControl w:val="0"/>
        <w:numPr>
          <w:ilvl w:val="0"/>
          <w:numId w:val="4"/>
        </w:numPr>
        <w:tabs>
          <w:tab w:val="left" w:pos="1134"/>
        </w:tabs>
        <w:ind w:left="0" w:firstLine="709"/>
        <w:outlineLvl w:val="1"/>
        <w:rPr>
          <w:lang w:eastAsia="ru-RU"/>
        </w:rPr>
      </w:pPr>
      <w:r w:rsidRPr="00B35439">
        <w:rPr>
          <w:lang w:eastAsia="ru-RU"/>
        </w:rPr>
        <w:t>Національний банк має право залишити пакет документів без розгляду протягом 10 робочих днів з наступного дня після подання пакета документів із зазначення</w:t>
      </w:r>
      <w:r w:rsidR="00995F86" w:rsidRPr="00B35439">
        <w:rPr>
          <w:lang w:eastAsia="ru-RU"/>
        </w:rPr>
        <w:t>м</w:t>
      </w:r>
      <w:r w:rsidRPr="00B35439">
        <w:rPr>
          <w:lang w:eastAsia="ru-RU"/>
        </w:rPr>
        <w:t xml:space="preserve"> підстав залишення пакета документів без розгляду у разі:</w:t>
      </w:r>
    </w:p>
    <w:p w14:paraId="19CDEE09" w14:textId="77777777" w:rsidR="00CD3F38" w:rsidRPr="00B35439" w:rsidRDefault="00CD3F38" w:rsidP="00CD3F38">
      <w:pPr>
        <w:pBdr>
          <w:top w:val="nil"/>
          <w:left w:val="nil"/>
          <w:bottom w:val="nil"/>
          <w:right w:val="nil"/>
          <w:between w:val="nil"/>
        </w:pBdr>
        <w:tabs>
          <w:tab w:val="left" w:pos="1134"/>
        </w:tabs>
        <w:ind w:firstLine="709"/>
        <w:rPr>
          <w:lang w:eastAsia="ru-RU"/>
        </w:rPr>
      </w:pPr>
    </w:p>
    <w:p w14:paraId="0C31855F" w14:textId="77777777" w:rsidR="00CD3F38" w:rsidRPr="00B35439" w:rsidRDefault="00CD3F38" w:rsidP="00CD3F38">
      <w:pPr>
        <w:numPr>
          <w:ilvl w:val="0"/>
          <w:numId w:val="32"/>
        </w:numPr>
        <w:pBdr>
          <w:top w:val="nil"/>
          <w:left w:val="nil"/>
          <w:bottom w:val="nil"/>
          <w:right w:val="nil"/>
          <w:between w:val="nil"/>
        </w:pBdr>
        <w:tabs>
          <w:tab w:val="left" w:pos="1134"/>
          <w:tab w:val="left" w:pos="1276"/>
        </w:tabs>
        <w:ind w:left="0" w:firstLine="709"/>
        <w:rPr>
          <w:lang w:eastAsia="ru-RU"/>
        </w:rPr>
      </w:pPr>
      <w:r w:rsidRPr="00B35439">
        <w:rPr>
          <w:lang w:eastAsia="ru-RU"/>
        </w:rPr>
        <w:t xml:space="preserve">подання документів в межах процедури, передбаченої </w:t>
      </w:r>
      <w:r w:rsidRPr="00B35439">
        <w:rPr>
          <w:rFonts w:eastAsia="Calibri"/>
          <w:lang w:eastAsia="en-US"/>
        </w:rPr>
        <w:t xml:space="preserve">розділом VI цього </w:t>
      </w:r>
      <w:r w:rsidRPr="00B35439">
        <w:rPr>
          <w:lang w:eastAsia="ru-RU"/>
        </w:rPr>
        <w:t>Положення, не в повному обсязі;</w:t>
      </w:r>
    </w:p>
    <w:p w14:paraId="62D64688" w14:textId="77777777" w:rsidR="00CD3F38" w:rsidRPr="00B35439" w:rsidRDefault="00CD3F38" w:rsidP="00CD3F38">
      <w:pPr>
        <w:pBdr>
          <w:top w:val="nil"/>
          <w:left w:val="nil"/>
          <w:bottom w:val="nil"/>
          <w:right w:val="nil"/>
          <w:between w:val="nil"/>
        </w:pBdr>
        <w:tabs>
          <w:tab w:val="left" w:pos="1134"/>
          <w:tab w:val="left" w:pos="1276"/>
        </w:tabs>
        <w:ind w:firstLine="709"/>
        <w:rPr>
          <w:lang w:eastAsia="ru-RU"/>
        </w:rPr>
      </w:pPr>
    </w:p>
    <w:p w14:paraId="515CB203" w14:textId="77777777" w:rsidR="00CD3F38" w:rsidRPr="00B35439" w:rsidRDefault="00CD3F38" w:rsidP="00CD3F38">
      <w:pPr>
        <w:numPr>
          <w:ilvl w:val="0"/>
          <w:numId w:val="32"/>
        </w:numPr>
        <w:pBdr>
          <w:top w:val="nil"/>
          <w:left w:val="nil"/>
          <w:bottom w:val="nil"/>
          <w:right w:val="nil"/>
          <w:between w:val="nil"/>
        </w:pBdr>
        <w:tabs>
          <w:tab w:val="left" w:pos="1134"/>
          <w:tab w:val="left" w:pos="1276"/>
        </w:tabs>
        <w:ind w:left="0" w:firstLine="709"/>
      </w:pPr>
      <w:r w:rsidRPr="00B35439">
        <w:lastRenderedPageBreak/>
        <w:t xml:space="preserve">оформлення </w:t>
      </w:r>
      <w:r w:rsidRPr="00B35439">
        <w:rPr>
          <w:lang w:eastAsia="ru-RU"/>
        </w:rPr>
        <w:t xml:space="preserve">документів в межах процедури, передбаченої </w:t>
      </w:r>
      <w:r w:rsidRPr="00B35439">
        <w:rPr>
          <w:rFonts w:eastAsia="Calibri"/>
          <w:lang w:eastAsia="en-US"/>
        </w:rPr>
        <w:t xml:space="preserve">розділом VI цього </w:t>
      </w:r>
      <w:r w:rsidRPr="00B35439">
        <w:rPr>
          <w:lang w:eastAsia="ru-RU"/>
        </w:rPr>
        <w:t xml:space="preserve">Положення, </w:t>
      </w:r>
      <w:r w:rsidRPr="00B35439">
        <w:t>із порушенням вимог законодавства України</w:t>
      </w:r>
      <w:r w:rsidRPr="00B35439">
        <w:rPr>
          <w:lang w:eastAsia="ru-RU"/>
        </w:rPr>
        <w:t xml:space="preserve"> </w:t>
      </w:r>
      <w:r w:rsidRPr="00B35439">
        <w:t xml:space="preserve">та/або </w:t>
      </w:r>
      <w:r w:rsidRPr="00B35439">
        <w:rPr>
          <w:lang w:eastAsia="ru-RU"/>
        </w:rPr>
        <w:t>цього Положення</w:t>
      </w:r>
      <w:r w:rsidRPr="00B35439">
        <w:t xml:space="preserve">. </w:t>
      </w:r>
    </w:p>
    <w:p w14:paraId="6C25F86D" w14:textId="77777777" w:rsidR="00CD3F38" w:rsidRPr="00B35439" w:rsidRDefault="00CD3F38" w:rsidP="00CD3F38">
      <w:pPr>
        <w:pBdr>
          <w:top w:val="nil"/>
          <w:left w:val="nil"/>
          <w:bottom w:val="nil"/>
          <w:right w:val="nil"/>
          <w:between w:val="nil"/>
        </w:pBdr>
        <w:tabs>
          <w:tab w:val="left" w:pos="1134"/>
          <w:tab w:val="left" w:pos="1276"/>
        </w:tabs>
        <w:ind w:firstLine="709"/>
      </w:pPr>
    </w:p>
    <w:p w14:paraId="07B8578D" w14:textId="77777777" w:rsidR="00CD3F38" w:rsidRPr="00B35439" w:rsidRDefault="00CD3F38" w:rsidP="00CD3F38">
      <w:pPr>
        <w:widowControl w:val="0"/>
        <w:numPr>
          <w:ilvl w:val="0"/>
          <w:numId w:val="4"/>
        </w:numPr>
        <w:tabs>
          <w:tab w:val="left" w:pos="1134"/>
        </w:tabs>
        <w:ind w:left="0" w:firstLine="709"/>
        <w:outlineLvl w:val="1"/>
        <w:rPr>
          <w:lang w:eastAsia="ru-RU"/>
        </w:rPr>
      </w:pPr>
      <w:r w:rsidRPr="00B35439">
        <w:rPr>
          <w:lang w:eastAsia="ru-RU"/>
        </w:rPr>
        <w:t>Страховик має право повторно подати пакет документів, який був залишений без розгляду, лише після усунення причин, що стали підставою для залишення його без розгляду.</w:t>
      </w:r>
    </w:p>
    <w:p w14:paraId="460369B4" w14:textId="77777777" w:rsidR="00CD3F38" w:rsidRPr="00B35439" w:rsidRDefault="00CD3F38" w:rsidP="00CD3F38">
      <w:pPr>
        <w:pBdr>
          <w:top w:val="nil"/>
          <w:left w:val="nil"/>
          <w:bottom w:val="nil"/>
          <w:right w:val="nil"/>
          <w:between w:val="nil"/>
        </w:pBdr>
        <w:tabs>
          <w:tab w:val="left" w:pos="1134"/>
        </w:tabs>
        <w:ind w:firstLine="709"/>
        <w:rPr>
          <w:lang w:eastAsia="ru-RU"/>
        </w:rPr>
      </w:pPr>
    </w:p>
    <w:p w14:paraId="0BFB020C" w14:textId="77777777" w:rsidR="00CD3F38" w:rsidRPr="00B35439" w:rsidRDefault="00CD3F38" w:rsidP="00CD3F38">
      <w:pPr>
        <w:widowControl w:val="0"/>
        <w:numPr>
          <w:ilvl w:val="0"/>
          <w:numId w:val="4"/>
        </w:numPr>
        <w:tabs>
          <w:tab w:val="left" w:pos="1134"/>
        </w:tabs>
        <w:ind w:left="0" w:firstLine="709"/>
        <w:outlineLvl w:val="1"/>
        <w:rPr>
          <w:lang w:eastAsia="ru-RU"/>
        </w:rPr>
      </w:pPr>
      <w:r w:rsidRPr="00B35439">
        <w:rPr>
          <w:lang w:eastAsia="ru-RU"/>
        </w:rPr>
        <w:t xml:space="preserve">Страховик зобов’язаний повідомити Національний банк про будь-які зміни у документах, передбачених процедурою за </w:t>
      </w:r>
      <w:r w:rsidRPr="00B35439">
        <w:rPr>
          <w:rFonts w:eastAsia="Calibri"/>
          <w:lang w:eastAsia="en-US"/>
        </w:rPr>
        <w:t xml:space="preserve">розділом VI цього </w:t>
      </w:r>
      <w:r w:rsidRPr="00B35439">
        <w:rPr>
          <w:lang w:eastAsia="ru-RU"/>
        </w:rPr>
        <w:t>Положенням, що сталися протягом строку розгляду пакета документів, протягом 3 робочих днів з дня виникнення таких змін.</w:t>
      </w:r>
      <w:bookmarkStart w:id="438" w:name="n3238"/>
      <w:bookmarkEnd w:id="438"/>
    </w:p>
    <w:p w14:paraId="378A502A" w14:textId="77777777" w:rsidR="00CD3F38" w:rsidRPr="00B35439" w:rsidRDefault="00CD3F38" w:rsidP="00CD3F38">
      <w:pPr>
        <w:pBdr>
          <w:top w:val="nil"/>
          <w:left w:val="nil"/>
          <w:bottom w:val="nil"/>
          <w:right w:val="nil"/>
          <w:between w:val="nil"/>
        </w:pBdr>
        <w:tabs>
          <w:tab w:val="left" w:pos="1134"/>
        </w:tabs>
        <w:ind w:firstLine="709"/>
        <w:rPr>
          <w:lang w:eastAsia="ru-RU"/>
        </w:rPr>
      </w:pPr>
    </w:p>
    <w:p w14:paraId="503231E0" w14:textId="77777777" w:rsidR="00CD3F38" w:rsidRPr="00B35439" w:rsidRDefault="00CD3F38" w:rsidP="00CD3F38">
      <w:pPr>
        <w:widowControl w:val="0"/>
        <w:numPr>
          <w:ilvl w:val="0"/>
          <w:numId w:val="4"/>
        </w:numPr>
        <w:tabs>
          <w:tab w:val="left" w:pos="1134"/>
        </w:tabs>
        <w:ind w:left="0" w:firstLine="709"/>
        <w:outlineLvl w:val="1"/>
        <w:rPr>
          <w:lang w:eastAsia="ru-RU"/>
        </w:rPr>
      </w:pPr>
      <w:bookmarkStart w:id="439" w:name="bookmark=id.1jlao46" w:colFirst="0" w:colLast="0"/>
      <w:bookmarkEnd w:id="439"/>
      <w:r w:rsidRPr="00B35439">
        <w:rPr>
          <w:lang w:eastAsia="ru-RU"/>
        </w:rPr>
        <w:t xml:space="preserve">Національний банк під час процедур, визначених </w:t>
      </w:r>
      <w:r w:rsidRPr="00B35439">
        <w:rPr>
          <w:rFonts w:eastAsia="Calibri"/>
          <w:lang w:eastAsia="en-US"/>
        </w:rPr>
        <w:t xml:space="preserve">розділом VI цього </w:t>
      </w:r>
      <w:r w:rsidRPr="00B35439">
        <w:rPr>
          <w:lang w:eastAsia="ru-RU"/>
        </w:rPr>
        <w:t xml:space="preserve">Положенням має право: </w:t>
      </w:r>
    </w:p>
    <w:p w14:paraId="30B03751" w14:textId="77777777" w:rsidR="00CD3F38" w:rsidRPr="00B35439" w:rsidRDefault="00CD3F38" w:rsidP="00CD3F38">
      <w:pPr>
        <w:tabs>
          <w:tab w:val="left" w:pos="1134"/>
        </w:tabs>
        <w:ind w:firstLine="709"/>
        <w:contextualSpacing/>
        <w:rPr>
          <w:rFonts w:eastAsia="Calibri"/>
          <w:lang w:eastAsia="en-US"/>
        </w:rPr>
      </w:pPr>
    </w:p>
    <w:p w14:paraId="7346E934" w14:textId="77777777" w:rsidR="00CD3F38" w:rsidRPr="00B35439" w:rsidRDefault="00CD3F38" w:rsidP="00CD3F38">
      <w:pPr>
        <w:numPr>
          <w:ilvl w:val="1"/>
          <w:numId w:val="31"/>
        </w:numPr>
        <w:pBdr>
          <w:top w:val="nil"/>
          <w:left w:val="nil"/>
          <w:bottom w:val="nil"/>
          <w:right w:val="nil"/>
          <w:between w:val="nil"/>
        </w:pBdr>
        <w:tabs>
          <w:tab w:val="left" w:pos="1134"/>
        </w:tabs>
        <w:ind w:left="0" w:firstLine="709"/>
        <w:contextualSpacing/>
        <w:rPr>
          <w:rFonts w:eastAsia="Calibri"/>
          <w:lang w:eastAsia="en-US"/>
        </w:rPr>
      </w:pPr>
      <w:r w:rsidRPr="00B35439">
        <w:rPr>
          <w:rFonts w:eastAsia="Calibri"/>
          <w:lang w:eastAsia="en-US"/>
        </w:rPr>
        <w:t>вимагати з наведенням обґрунтування такої вимоги додаткову інформацію, документи, пояснення, необхідні для уточнення відомостей, що були подані до Національного банку, а також для повного та всебічного аналізу й прийняття ним мотивованого рішення відповідно до цього Положення;</w:t>
      </w:r>
      <w:bookmarkStart w:id="440" w:name="bookmark=id.43ky6rz" w:colFirst="0" w:colLast="0"/>
      <w:bookmarkEnd w:id="440"/>
    </w:p>
    <w:p w14:paraId="026D5460" w14:textId="77777777" w:rsidR="00CD3F38" w:rsidRPr="00B35439" w:rsidRDefault="00CD3F38" w:rsidP="00CD3F38">
      <w:pPr>
        <w:pBdr>
          <w:top w:val="nil"/>
          <w:left w:val="nil"/>
          <w:bottom w:val="nil"/>
          <w:right w:val="nil"/>
          <w:between w:val="nil"/>
        </w:pBdr>
        <w:tabs>
          <w:tab w:val="left" w:pos="1134"/>
        </w:tabs>
        <w:ind w:firstLine="709"/>
        <w:contextualSpacing/>
        <w:rPr>
          <w:rFonts w:eastAsia="Calibri"/>
          <w:lang w:eastAsia="en-US"/>
        </w:rPr>
      </w:pPr>
    </w:p>
    <w:p w14:paraId="374A8A51" w14:textId="77777777" w:rsidR="00CD3F38" w:rsidRPr="00B35439" w:rsidRDefault="00CD3F38" w:rsidP="00CD3F38">
      <w:pPr>
        <w:numPr>
          <w:ilvl w:val="1"/>
          <w:numId w:val="31"/>
        </w:numPr>
        <w:pBdr>
          <w:top w:val="nil"/>
          <w:left w:val="nil"/>
          <w:bottom w:val="nil"/>
          <w:right w:val="nil"/>
          <w:between w:val="nil"/>
        </w:pBdr>
        <w:tabs>
          <w:tab w:val="left" w:pos="1134"/>
        </w:tabs>
        <w:ind w:left="0" w:firstLine="709"/>
        <w:contextualSpacing/>
        <w:rPr>
          <w:rFonts w:eastAsia="Calibri"/>
          <w:lang w:eastAsia="en-US"/>
        </w:rPr>
      </w:pPr>
      <w:r w:rsidRPr="00B35439">
        <w:rPr>
          <w:lang w:eastAsia="ru-RU"/>
        </w:rPr>
        <w:t>надати страховикові зауваження до поданого пакета документів, якщо документи не відповідають вимогам цього Положення та/або законодавства України.</w:t>
      </w:r>
    </w:p>
    <w:p w14:paraId="41A91C0C" w14:textId="77777777" w:rsidR="00CD3F38" w:rsidRPr="00B35439" w:rsidRDefault="00CD3F38" w:rsidP="00CD3F38">
      <w:pPr>
        <w:pBdr>
          <w:top w:val="nil"/>
          <w:left w:val="nil"/>
          <w:bottom w:val="nil"/>
          <w:right w:val="nil"/>
          <w:between w:val="nil"/>
        </w:pBdr>
        <w:tabs>
          <w:tab w:val="left" w:pos="1134"/>
        </w:tabs>
        <w:ind w:firstLine="709"/>
        <w:rPr>
          <w:lang w:eastAsia="ru-RU"/>
        </w:rPr>
      </w:pPr>
    </w:p>
    <w:p w14:paraId="0FA5C1F1" w14:textId="77777777" w:rsidR="00CD3F38" w:rsidRPr="00B35439" w:rsidRDefault="00CD3F38" w:rsidP="00CD3F38">
      <w:pPr>
        <w:widowControl w:val="0"/>
        <w:numPr>
          <w:ilvl w:val="0"/>
          <w:numId w:val="4"/>
        </w:numPr>
        <w:tabs>
          <w:tab w:val="left" w:pos="1134"/>
        </w:tabs>
        <w:ind w:left="0" w:firstLine="709"/>
        <w:outlineLvl w:val="1"/>
        <w:rPr>
          <w:lang w:eastAsia="ru-RU"/>
        </w:rPr>
      </w:pPr>
      <w:r w:rsidRPr="00B35439">
        <w:rPr>
          <w:lang w:eastAsia="ru-RU"/>
        </w:rPr>
        <w:t xml:space="preserve">Національний банк установлює строк подання страховиком, але не </w:t>
      </w:r>
      <w:r w:rsidRPr="00B35439">
        <w:t xml:space="preserve">більше </w:t>
      </w:r>
      <w:r w:rsidRPr="00B35439">
        <w:rPr>
          <w:lang w:eastAsia="ru-RU"/>
        </w:rPr>
        <w:t>1</w:t>
      </w:r>
      <w:r w:rsidRPr="00B35439">
        <w:t>0 роб</w:t>
      </w:r>
      <w:r w:rsidRPr="00B35439">
        <w:rPr>
          <w:lang w:eastAsia="ru-RU"/>
        </w:rPr>
        <w:t>очих днів, інформації, документів, пояснень та/або виправлених документів. Перебіг строку розгляду документів зупиняється та поновлюється після отримання всіх додаткових/виправлених документів, інформації та пояснень або після спливу встановленого строку на надання їх подання.</w:t>
      </w:r>
    </w:p>
    <w:p w14:paraId="650DFC43" w14:textId="77777777" w:rsidR="00CD3F38" w:rsidRPr="00B35439" w:rsidRDefault="00CD3F38" w:rsidP="00CD3F38">
      <w:pPr>
        <w:pBdr>
          <w:top w:val="nil"/>
          <w:left w:val="nil"/>
          <w:bottom w:val="nil"/>
          <w:right w:val="nil"/>
          <w:between w:val="nil"/>
        </w:pBdr>
        <w:tabs>
          <w:tab w:val="left" w:pos="1134"/>
        </w:tabs>
        <w:ind w:firstLine="709"/>
        <w:rPr>
          <w:lang w:eastAsia="ru-RU"/>
        </w:rPr>
      </w:pPr>
    </w:p>
    <w:p w14:paraId="64937BA4" w14:textId="77777777" w:rsidR="00CD3F38" w:rsidRPr="00B35439" w:rsidRDefault="00CD3F38" w:rsidP="00CD3F38">
      <w:pPr>
        <w:widowControl w:val="0"/>
        <w:numPr>
          <w:ilvl w:val="0"/>
          <w:numId w:val="4"/>
        </w:numPr>
        <w:tabs>
          <w:tab w:val="left" w:pos="1134"/>
        </w:tabs>
        <w:ind w:left="0" w:firstLine="709"/>
        <w:outlineLvl w:val="1"/>
        <w:rPr>
          <w:lang w:eastAsia="ru-RU"/>
        </w:rPr>
      </w:pPr>
      <w:r w:rsidRPr="00B35439">
        <w:rPr>
          <w:lang w:eastAsia="ru-RU"/>
        </w:rPr>
        <w:t xml:space="preserve">Національний банк має право продовжити строк розгляду пакета документів, поданого відповідно до цього Положення, але не більше ніж на </w:t>
      </w:r>
      <w:r w:rsidRPr="00B35439">
        <w:t>30 робочих днів</w:t>
      </w:r>
      <w:r w:rsidRPr="00B35439">
        <w:rPr>
          <w:lang w:eastAsia="ru-RU"/>
        </w:rPr>
        <w:t xml:space="preserve"> у разі необхідності перевірки достовірності поданих документів/інформації та/або отримання додаткових документів/інформації, необхідних для прийняття рішення. Національний банк повідомляє страховика про продовження строку розгляду документів і строк, на який його продовжено, протягом 3 робочих днів із дня прийняття такого рішення.</w:t>
      </w:r>
    </w:p>
    <w:p w14:paraId="08FB3299" w14:textId="77777777" w:rsidR="00CD3F38" w:rsidRPr="00B35439" w:rsidRDefault="00CD3F38" w:rsidP="00CD3F38">
      <w:pPr>
        <w:pBdr>
          <w:top w:val="nil"/>
          <w:left w:val="nil"/>
          <w:bottom w:val="nil"/>
          <w:right w:val="nil"/>
          <w:between w:val="nil"/>
        </w:pBdr>
        <w:tabs>
          <w:tab w:val="left" w:pos="1134"/>
        </w:tabs>
        <w:ind w:firstLine="709"/>
        <w:rPr>
          <w:lang w:eastAsia="ru-RU"/>
        </w:rPr>
      </w:pPr>
    </w:p>
    <w:p w14:paraId="27D0E044" w14:textId="5DDCC95D" w:rsidR="00CD3F38" w:rsidRPr="00B35439" w:rsidRDefault="00CD3F38" w:rsidP="00CD3F38">
      <w:pPr>
        <w:widowControl w:val="0"/>
        <w:numPr>
          <w:ilvl w:val="0"/>
          <w:numId w:val="4"/>
        </w:numPr>
        <w:tabs>
          <w:tab w:val="left" w:pos="1134"/>
        </w:tabs>
        <w:ind w:left="0" w:firstLine="709"/>
        <w:outlineLvl w:val="1"/>
        <w:rPr>
          <w:lang w:eastAsia="ru-RU"/>
        </w:rPr>
      </w:pPr>
      <w:r w:rsidRPr="00B35439">
        <w:rPr>
          <w:lang w:eastAsia="ru-RU"/>
        </w:rPr>
        <w:t xml:space="preserve">Національний банк має право припинити розгляд </w:t>
      </w:r>
      <w:r w:rsidR="004206BE" w:rsidRPr="00B35439">
        <w:rPr>
          <w:lang w:eastAsia="ru-RU"/>
        </w:rPr>
        <w:t xml:space="preserve">пакета </w:t>
      </w:r>
      <w:r w:rsidRPr="00B35439">
        <w:rPr>
          <w:lang w:eastAsia="ru-RU"/>
        </w:rPr>
        <w:t>документів</w:t>
      </w:r>
      <w:r w:rsidR="004206BE" w:rsidRPr="00B35439">
        <w:rPr>
          <w:lang w:eastAsia="ru-RU"/>
        </w:rPr>
        <w:t>, поданого відповідно до цього Положення,</w:t>
      </w:r>
      <w:r w:rsidR="00AD7FCB" w:rsidRPr="00B35439">
        <w:rPr>
          <w:lang w:eastAsia="en-US"/>
        </w:rPr>
        <w:t xml:space="preserve"> </w:t>
      </w:r>
      <w:r w:rsidR="004206BE" w:rsidRPr="00B35439">
        <w:rPr>
          <w:lang w:eastAsia="ru-RU"/>
        </w:rPr>
        <w:t xml:space="preserve">за клопотанням страховика, отриманим до прийняття Національним банком рішення про надання Дозволу, </w:t>
      </w:r>
      <w:r w:rsidR="004206BE" w:rsidRPr="00B35439">
        <w:rPr>
          <w:lang w:eastAsia="ru-RU"/>
        </w:rPr>
        <w:lastRenderedPageBreak/>
        <w:t>відмову у наданні Дозволу, внесенні змін до Дозволу</w:t>
      </w:r>
      <w:r w:rsidRPr="00B35439">
        <w:rPr>
          <w:lang w:eastAsia="ru-RU"/>
        </w:rPr>
        <w:t xml:space="preserve">. </w:t>
      </w:r>
    </w:p>
    <w:p w14:paraId="13384B86" w14:textId="77777777" w:rsidR="00CD3F38" w:rsidRPr="00B35439" w:rsidRDefault="00CD3F38" w:rsidP="00CD3F38">
      <w:pPr>
        <w:pBdr>
          <w:top w:val="nil"/>
          <w:left w:val="nil"/>
          <w:bottom w:val="nil"/>
          <w:right w:val="nil"/>
          <w:between w:val="nil"/>
        </w:pBdr>
        <w:tabs>
          <w:tab w:val="left" w:pos="1134"/>
        </w:tabs>
        <w:ind w:firstLine="709"/>
        <w:rPr>
          <w:lang w:eastAsia="ru-RU"/>
        </w:rPr>
      </w:pPr>
    </w:p>
    <w:p w14:paraId="71B61DB5" w14:textId="77777777" w:rsidR="00CD3F38" w:rsidRPr="00B35439" w:rsidRDefault="00CD3F38" w:rsidP="00CD3F38">
      <w:pPr>
        <w:widowControl w:val="0"/>
        <w:numPr>
          <w:ilvl w:val="0"/>
          <w:numId w:val="4"/>
        </w:numPr>
        <w:tabs>
          <w:tab w:val="left" w:pos="1134"/>
        </w:tabs>
        <w:ind w:left="0" w:firstLine="709"/>
        <w:outlineLvl w:val="1"/>
        <w:rPr>
          <w:lang w:eastAsia="ru-RU"/>
        </w:rPr>
      </w:pPr>
      <w:r w:rsidRPr="00B35439">
        <w:rPr>
          <w:lang w:eastAsia="ru-RU"/>
        </w:rPr>
        <w:t>Національний банк у разі залишення пакета документів без розгляду або у разі отримання клопотання страховика про припинення розгляду документів, що був поданий страховиком у паперовій формі, повертає такий паперовий пакет документів страховику поштою з повідомленням про вручення протягом 5 робочих днів після прийняття відповідного рішення.</w:t>
      </w:r>
    </w:p>
    <w:p w14:paraId="729E9446" w14:textId="77777777" w:rsidR="00CD3F38" w:rsidRPr="00B35439" w:rsidRDefault="00CD3F38" w:rsidP="00CD3F38">
      <w:pPr>
        <w:pBdr>
          <w:top w:val="nil"/>
          <w:left w:val="nil"/>
          <w:bottom w:val="nil"/>
          <w:right w:val="nil"/>
          <w:between w:val="nil"/>
        </w:pBdr>
        <w:tabs>
          <w:tab w:val="left" w:pos="1134"/>
        </w:tabs>
        <w:ind w:firstLine="709"/>
        <w:rPr>
          <w:lang w:eastAsia="ru-RU"/>
        </w:rPr>
      </w:pPr>
    </w:p>
    <w:p w14:paraId="48AB3472" w14:textId="77777777" w:rsidR="00CD3F38" w:rsidRPr="00B35439" w:rsidRDefault="00CD3F38" w:rsidP="00CD3F38">
      <w:pPr>
        <w:widowControl w:val="0"/>
        <w:numPr>
          <w:ilvl w:val="0"/>
          <w:numId w:val="4"/>
        </w:numPr>
        <w:tabs>
          <w:tab w:val="left" w:pos="1134"/>
        </w:tabs>
        <w:ind w:left="0" w:firstLine="709"/>
        <w:outlineLvl w:val="1"/>
        <w:rPr>
          <w:rFonts w:eastAsia="Calibri"/>
          <w:lang w:eastAsia="en-US"/>
        </w:rPr>
      </w:pPr>
      <w:r w:rsidRPr="00B35439">
        <w:rPr>
          <w:rFonts w:eastAsia="Calibri"/>
          <w:lang w:eastAsia="en-US"/>
        </w:rPr>
        <w:t>Національний банк приймає рішення та повідомляє страховика про:</w:t>
      </w:r>
    </w:p>
    <w:p w14:paraId="6B07CC5B" w14:textId="77777777" w:rsidR="00CD3F38" w:rsidRPr="00B35439" w:rsidRDefault="00CD3F38" w:rsidP="00CD3F38">
      <w:pPr>
        <w:pBdr>
          <w:top w:val="nil"/>
          <w:left w:val="nil"/>
          <w:bottom w:val="nil"/>
          <w:right w:val="nil"/>
          <w:between w:val="nil"/>
        </w:pBdr>
        <w:shd w:val="clear" w:color="auto" w:fill="FFFFFF"/>
        <w:tabs>
          <w:tab w:val="left" w:pos="1134"/>
        </w:tabs>
        <w:ind w:firstLine="709"/>
        <w:rPr>
          <w:lang w:eastAsia="ru-RU"/>
        </w:rPr>
      </w:pPr>
    </w:p>
    <w:p w14:paraId="2537C22F" w14:textId="77777777" w:rsidR="00CD3F38" w:rsidRPr="00B35439" w:rsidRDefault="00CD3F38" w:rsidP="00CD3F38">
      <w:pPr>
        <w:numPr>
          <w:ilvl w:val="0"/>
          <w:numId w:val="33"/>
        </w:numPr>
        <w:pBdr>
          <w:top w:val="nil"/>
          <w:left w:val="nil"/>
          <w:bottom w:val="nil"/>
          <w:right w:val="nil"/>
          <w:between w:val="nil"/>
        </w:pBdr>
        <w:shd w:val="clear" w:color="auto" w:fill="FFFFFF"/>
        <w:tabs>
          <w:tab w:val="left" w:pos="1134"/>
        </w:tabs>
        <w:ind w:left="0" w:firstLine="709"/>
        <w:rPr>
          <w:lang w:eastAsia="ru-RU"/>
        </w:rPr>
      </w:pPr>
      <w:r w:rsidRPr="00B35439">
        <w:rPr>
          <w:lang w:eastAsia="ru-RU"/>
        </w:rPr>
        <w:t>залишення пакета документів без розгляду;</w:t>
      </w:r>
    </w:p>
    <w:p w14:paraId="67215A1E" w14:textId="77777777" w:rsidR="00CD3F38" w:rsidRPr="00B35439" w:rsidRDefault="00CD3F38" w:rsidP="00CD3F38">
      <w:pPr>
        <w:pBdr>
          <w:top w:val="nil"/>
          <w:left w:val="nil"/>
          <w:bottom w:val="nil"/>
          <w:right w:val="nil"/>
          <w:between w:val="nil"/>
        </w:pBdr>
        <w:shd w:val="clear" w:color="auto" w:fill="FFFFFF"/>
        <w:tabs>
          <w:tab w:val="left" w:pos="1134"/>
        </w:tabs>
        <w:ind w:firstLine="709"/>
        <w:rPr>
          <w:lang w:eastAsia="ru-RU"/>
        </w:rPr>
      </w:pPr>
    </w:p>
    <w:p w14:paraId="058B10F6" w14:textId="77777777" w:rsidR="00CD3F38" w:rsidRPr="00B35439" w:rsidRDefault="00CD3F38" w:rsidP="00CD3F38">
      <w:pPr>
        <w:numPr>
          <w:ilvl w:val="0"/>
          <w:numId w:val="33"/>
        </w:numPr>
        <w:shd w:val="clear" w:color="auto" w:fill="FFFFFF"/>
        <w:tabs>
          <w:tab w:val="left" w:pos="1134"/>
        </w:tabs>
        <w:ind w:left="0" w:firstLine="709"/>
        <w:rPr>
          <w:lang w:eastAsia="ru-RU"/>
        </w:rPr>
      </w:pPr>
      <w:r w:rsidRPr="00B35439">
        <w:rPr>
          <w:lang w:eastAsia="ru-RU"/>
        </w:rPr>
        <w:t>продовження строку розгляду пакета документів;</w:t>
      </w:r>
    </w:p>
    <w:p w14:paraId="43165B99" w14:textId="77777777" w:rsidR="00CD3F38" w:rsidRPr="00B35439" w:rsidRDefault="00CD3F38" w:rsidP="00CD3F38">
      <w:pPr>
        <w:shd w:val="clear" w:color="auto" w:fill="FFFFFF"/>
        <w:tabs>
          <w:tab w:val="left" w:pos="1134"/>
        </w:tabs>
        <w:ind w:firstLine="709"/>
        <w:rPr>
          <w:lang w:eastAsia="ru-RU"/>
        </w:rPr>
      </w:pPr>
    </w:p>
    <w:p w14:paraId="4BC4D931" w14:textId="77777777" w:rsidR="00CD3F38" w:rsidRPr="00B35439" w:rsidRDefault="00CD3F38" w:rsidP="00CD3F38">
      <w:pPr>
        <w:numPr>
          <w:ilvl w:val="0"/>
          <w:numId w:val="33"/>
        </w:numPr>
        <w:pBdr>
          <w:top w:val="nil"/>
          <w:left w:val="nil"/>
          <w:bottom w:val="nil"/>
          <w:right w:val="nil"/>
          <w:between w:val="nil"/>
        </w:pBdr>
        <w:shd w:val="clear" w:color="auto" w:fill="FFFFFF"/>
        <w:tabs>
          <w:tab w:val="left" w:pos="1134"/>
        </w:tabs>
        <w:ind w:left="0" w:firstLine="709"/>
        <w:rPr>
          <w:lang w:eastAsia="ru-RU"/>
        </w:rPr>
      </w:pPr>
      <w:r w:rsidRPr="00B35439">
        <w:rPr>
          <w:lang w:eastAsia="ru-RU"/>
        </w:rPr>
        <w:t>припинення розгляду пакета документів за клопотанням страховика.</w:t>
      </w:r>
    </w:p>
    <w:p w14:paraId="59CD1A1F" w14:textId="77777777" w:rsidR="00CD3F38" w:rsidRPr="00B35439" w:rsidRDefault="00CD3F38" w:rsidP="00CD3F38">
      <w:pPr>
        <w:pBdr>
          <w:top w:val="nil"/>
          <w:left w:val="nil"/>
          <w:bottom w:val="nil"/>
          <w:right w:val="nil"/>
          <w:between w:val="nil"/>
        </w:pBdr>
        <w:shd w:val="clear" w:color="auto" w:fill="FFFFFF"/>
        <w:tabs>
          <w:tab w:val="left" w:pos="1134"/>
        </w:tabs>
        <w:ind w:firstLine="709"/>
        <w:rPr>
          <w:lang w:eastAsia="ru-RU"/>
        </w:rPr>
      </w:pPr>
    </w:p>
    <w:p w14:paraId="2C6FF1A0" w14:textId="2B8880D2" w:rsidR="00CD3F38" w:rsidRPr="00B35439" w:rsidRDefault="00CD3F38" w:rsidP="00CD3F38">
      <w:pPr>
        <w:widowControl w:val="0"/>
        <w:numPr>
          <w:ilvl w:val="0"/>
          <w:numId w:val="4"/>
        </w:numPr>
        <w:tabs>
          <w:tab w:val="left" w:pos="1134"/>
        </w:tabs>
        <w:ind w:left="0" w:firstLine="709"/>
        <w:outlineLvl w:val="1"/>
        <w:rPr>
          <w:rFonts w:eastAsiaTheme="majorEastAsia"/>
          <w:lang w:eastAsia="en-US"/>
        </w:rPr>
      </w:pPr>
      <w:r w:rsidRPr="00B35439">
        <w:rPr>
          <w:lang w:eastAsia="en-US"/>
        </w:rPr>
        <w:t xml:space="preserve">Комітет з питань нагляду та регулювання діяльності небанківських фінансових установ (далі – Комітет з питань нагляду) приймає рішення про надання </w:t>
      </w:r>
      <w:r w:rsidR="00E964C7" w:rsidRPr="00B35439">
        <w:rPr>
          <w:lang w:eastAsia="en-US"/>
        </w:rPr>
        <w:t>Д</w:t>
      </w:r>
      <w:r w:rsidRPr="00B35439">
        <w:rPr>
          <w:lang w:eastAsia="en-US"/>
        </w:rPr>
        <w:t xml:space="preserve">озволу за результатами розгляду наданої інформації та поданих документів, інформації, отриманої Національним банком під час здійснення ним нагляду та регулювання діяльності ринків фінансових послуг, інформації з офіційних джерел. </w:t>
      </w:r>
    </w:p>
    <w:p w14:paraId="5D956336" w14:textId="77777777" w:rsidR="00CD3F38" w:rsidRPr="00B35439" w:rsidRDefault="00CD3F38" w:rsidP="00CD3F38">
      <w:pPr>
        <w:widowControl w:val="0"/>
        <w:shd w:val="clear" w:color="auto" w:fill="FFFFFF"/>
        <w:tabs>
          <w:tab w:val="left" w:pos="1134"/>
        </w:tabs>
        <w:ind w:firstLine="709"/>
        <w:contextualSpacing/>
        <w:rPr>
          <w:rFonts w:eastAsiaTheme="majorEastAsia"/>
          <w:lang w:eastAsia="en-US"/>
        </w:rPr>
      </w:pPr>
    </w:p>
    <w:p w14:paraId="470BF186" w14:textId="5D5F97D4" w:rsidR="00CD3F38" w:rsidRPr="00B35439" w:rsidRDefault="00CD3F38" w:rsidP="00CD3F38">
      <w:pPr>
        <w:widowControl w:val="0"/>
        <w:numPr>
          <w:ilvl w:val="0"/>
          <w:numId w:val="4"/>
        </w:numPr>
        <w:tabs>
          <w:tab w:val="left" w:pos="1134"/>
        </w:tabs>
        <w:ind w:left="0" w:firstLine="709"/>
        <w:outlineLvl w:val="1"/>
        <w:rPr>
          <w:rFonts w:eastAsiaTheme="majorEastAsia"/>
          <w:lang w:eastAsia="en-US"/>
        </w:rPr>
      </w:pPr>
      <w:r w:rsidRPr="00B35439">
        <w:rPr>
          <w:lang w:eastAsia="en-US"/>
        </w:rPr>
        <w:t>Комітет з питань нагляду приймає рішення про надання Дозволу (із зазначенням конкретного строку дії Дозволу, протягом якого кошти на умовах субординованого боргу включаються до ФЗП для цілей дотримання нормативу платоспроможності та достатності капіталу відповідно до пункту 2</w:t>
      </w:r>
      <w:r w:rsidR="00B6012A" w:rsidRPr="00B35439">
        <w:rPr>
          <w:lang w:eastAsia="en-US"/>
        </w:rPr>
        <w:t>4</w:t>
      </w:r>
      <w:r w:rsidRPr="00B35439">
        <w:rPr>
          <w:lang w:eastAsia="en-US"/>
        </w:rPr>
        <w:t xml:space="preserve"> розділу ІІІ цього Положення) або відмову у наданні Дозволу</w:t>
      </w:r>
      <w:r w:rsidRPr="00B35439">
        <w:t xml:space="preserve"> протягом 30 робочих днів із дати подання повного пакета документів, передбаченого пунктом 3</w:t>
      </w:r>
      <w:r w:rsidR="00B6012A" w:rsidRPr="00B35439">
        <w:t>3</w:t>
      </w:r>
      <w:r w:rsidRPr="00B35439">
        <w:t xml:space="preserve"> розділу VІ цього Положення</w:t>
      </w:r>
      <w:r w:rsidRPr="00B35439">
        <w:rPr>
          <w:lang w:eastAsia="en-US"/>
        </w:rPr>
        <w:t xml:space="preserve">. </w:t>
      </w:r>
    </w:p>
    <w:p w14:paraId="303D7287" w14:textId="77777777" w:rsidR="00CD3F38" w:rsidRPr="00B35439" w:rsidRDefault="00CD3F38" w:rsidP="00CD3F38">
      <w:pPr>
        <w:ind w:firstLine="709"/>
        <w:contextualSpacing/>
        <w:rPr>
          <w:lang w:eastAsia="en-US"/>
        </w:rPr>
      </w:pPr>
    </w:p>
    <w:p w14:paraId="405F7E82" w14:textId="77777777" w:rsidR="00CD3F38" w:rsidRPr="00B35439" w:rsidRDefault="00CD3F38" w:rsidP="00CD3F38">
      <w:pPr>
        <w:widowControl w:val="0"/>
        <w:numPr>
          <w:ilvl w:val="0"/>
          <w:numId w:val="4"/>
        </w:numPr>
        <w:tabs>
          <w:tab w:val="left" w:pos="1134"/>
        </w:tabs>
        <w:ind w:left="0" w:firstLine="709"/>
        <w:outlineLvl w:val="1"/>
        <w:rPr>
          <w:rFonts w:eastAsiaTheme="majorEastAsia"/>
          <w:lang w:eastAsia="en-US"/>
        </w:rPr>
      </w:pPr>
      <w:r w:rsidRPr="00B35439">
        <w:rPr>
          <w:lang w:eastAsia="en-US"/>
        </w:rPr>
        <w:t xml:space="preserve">Комітет з питань нагляду </w:t>
      </w:r>
      <w:r w:rsidRPr="00B35439">
        <w:t>має право відмовити страховику у наданні Дозволу у разі:</w:t>
      </w:r>
    </w:p>
    <w:p w14:paraId="2A85166C" w14:textId="77777777" w:rsidR="00CD3F38" w:rsidRPr="00B35439" w:rsidRDefault="00CD3F38" w:rsidP="00CD3F38">
      <w:pPr>
        <w:ind w:firstLine="709"/>
        <w:contextualSpacing/>
        <w:rPr>
          <w:lang w:eastAsia="en-US"/>
        </w:rPr>
      </w:pPr>
    </w:p>
    <w:p w14:paraId="4EB9F4DE" w14:textId="77777777" w:rsidR="00CD3F38" w:rsidRPr="00B35439" w:rsidRDefault="00CD3F38" w:rsidP="00CD3F38">
      <w:pPr>
        <w:numPr>
          <w:ilvl w:val="0"/>
          <w:numId w:val="35"/>
        </w:numPr>
        <w:shd w:val="clear" w:color="auto" w:fill="FFFFFF"/>
        <w:tabs>
          <w:tab w:val="left" w:pos="1134"/>
        </w:tabs>
        <w:ind w:left="0" w:firstLine="709"/>
        <w:rPr>
          <w:lang w:eastAsia="ru-RU"/>
        </w:rPr>
      </w:pPr>
      <w:r w:rsidRPr="00B35439">
        <w:rPr>
          <w:lang w:eastAsia="ru-RU"/>
        </w:rPr>
        <w:t>недостовірності поданих страховиком відомостей;</w:t>
      </w:r>
    </w:p>
    <w:p w14:paraId="4EF3B500" w14:textId="77777777" w:rsidR="00CD3F38" w:rsidRPr="00B35439" w:rsidRDefault="00CD3F38" w:rsidP="00CD3F38">
      <w:pPr>
        <w:shd w:val="clear" w:color="auto" w:fill="FFFFFF"/>
        <w:tabs>
          <w:tab w:val="left" w:pos="1134"/>
        </w:tabs>
        <w:ind w:firstLine="709"/>
        <w:rPr>
          <w:lang w:eastAsia="ru-RU"/>
        </w:rPr>
      </w:pPr>
    </w:p>
    <w:p w14:paraId="76739E5C" w14:textId="77777777" w:rsidR="00CD3F38" w:rsidRPr="00B35439" w:rsidRDefault="00CD3F38" w:rsidP="00CD3F38">
      <w:pPr>
        <w:numPr>
          <w:ilvl w:val="0"/>
          <w:numId w:val="35"/>
        </w:numPr>
        <w:shd w:val="clear" w:color="auto" w:fill="FFFFFF"/>
        <w:tabs>
          <w:tab w:val="left" w:pos="1134"/>
        </w:tabs>
        <w:ind w:left="0" w:firstLine="709"/>
        <w:rPr>
          <w:lang w:eastAsia="ru-RU"/>
        </w:rPr>
      </w:pPr>
      <w:r w:rsidRPr="00B35439">
        <w:rPr>
          <w:lang w:eastAsia="ru-RU"/>
        </w:rPr>
        <w:t>невідповідності умов залучення страховиком коштів на умовах субординованого боргу вимогам цього Положення;</w:t>
      </w:r>
    </w:p>
    <w:p w14:paraId="4C8F15B3" w14:textId="77777777" w:rsidR="00CD3F38" w:rsidRPr="00B35439" w:rsidRDefault="00CD3F38" w:rsidP="00CD3F38">
      <w:pPr>
        <w:shd w:val="clear" w:color="auto" w:fill="FFFFFF"/>
        <w:tabs>
          <w:tab w:val="left" w:pos="1134"/>
        </w:tabs>
        <w:ind w:firstLine="709"/>
        <w:rPr>
          <w:lang w:eastAsia="ru-RU"/>
        </w:rPr>
      </w:pPr>
    </w:p>
    <w:p w14:paraId="28404B9F" w14:textId="732A942F" w:rsidR="00CD3F38" w:rsidRPr="00B35439" w:rsidRDefault="00CD3F38" w:rsidP="00CD3F38">
      <w:pPr>
        <w:numPr>
          <w:ilvl w:val="0"/>
          <w:numId w:val="35"/>
        </w:numPr>
        <w:shd w:val="clear" w:color="auto" w:fill="FFFFFF"/>
        <w:tabs>
          <w:tab w:val="left" w:pos="1134"/>
        </w:tabs>
        <w:ind w:left="0" w:firstLine="709"/>
        <w:rPr>
          <w:lang w:eastAsia="ru-RU"/>
        </w:rPr>
      </w:pPr>
      <w:r w:rsidRPr="00B35439">
        <w:rPr>
          <w:lang w:eastAsia="ru-RU"/>
        </w:rPr>
        <w:t xml:space="preserve">визнання структури власності страховика непрозорою </w:t>
      </w:r>
      <w:r w:rsidR="005E10B5" w:rsidRPr="00B35439">
        <w:rPr>
          <w:lang w:eastAsia="ru-RU"/>
        </w:rPr>
        <w:t xml:space="preserve">в результаті </w:t>
      </w:r>
      <w:r w:rsidRPr="00B35439">
        <w:rPr>
          <w:lang w:eastAsia="ru-RU"/>
        </w:rPr>
        <w:t xml:space="preserve">здійснення перевірки на відповідність вимогам щодо прозорості структури </w:t>
      </w:r>
      <w:r w:rsidRPr="00B35439">
        <w:rPr>
          <w:lang w:eastAsia="ru-RU"/>
        </w:rPr>
        <w:lastRenderedPageBreak/>
        <w:t>власності страховика згідно з нормативно-правовими актами Національного банку</w:t>
      </w:r>
      <w:r w:rsidR="000E4494" w:rsidRPr="00B35439">
        <w:rPr>
          <w:lang w:eastAsia="ru-RU"/>
        </w:rPr>
        <w:t xml:space="preserve"> </w:t>
      </w:r>
      <w:r w:rsidR="005E10B5" w:rsidRPr="00B35439">
        <w:rPr>
          <w:lang w:eastAsia="ru-RU"/>
        </w:rPr>
        <w:t>щодо вимог до структури власності надавачів фінансових послуг</w:t>
      </w:r>
      <w:r w:rsidRPr="00B35439">
        <w:rPr>
          <w:lang w:eastAsia="ru-RU"/>
        </w:rPr>
        <w:t>.</w:t>
      </w:r>
    </w:p>
    <w:p w14:paraId="45A1D333" w14:textId="77777777" w:rsidR="00CD3F38" w:rsidRPr="00B35439" w:rsidRDefault="00CD3F38" w:rsidP="00CD3F38">
      <w:pPr>
        <w:widowControl w:val="0"/>
        <w:shd w:val="clear" w:color="auto" w:fill="FFFFFF"/>
        <w:tabs>
          <w:tab w:val="left" w:pos="1134"/>
        </w:tabs>
        <w:ind w:firstLine="709"/>
        <w:contextualSpacing/>
        <w:rPr>
          <w:lang w:eastAsia="en-US"/>
        </w:rPr>
      </w:pPr>
    </w:p>
    <w:p w14:paraId="4B9E53EA" w14:textId="6425FD83" w:rsidR="00455AD4" w:rsidRPr="00455AD4" w:rsidRDefault="00CD3F38" w:rsidP="00CD3F38">
      <w:pPr>
        <w:widowControl w:val="0"/>
        <w:numPr>
          <w:ilvl w:val="0"/>
          <w:numId w:val="4"/>
        </w:numPr>
        <w:tabs>
          <w:tab w:val="left" w:pos="1134"/>
        </w:tabs>
        <w:ind w:left="0" w:firstLine="709"/>
        <w:outlineLvl w:val="1"/>
        <w:rPr>
          <w:lang w:eastAsia="en-US"/>
        </w:rPr>
      </w:pPr>
      <w:r w:rsidRPr="00455AD4">
        <w:rPr>
          <w:lang w:eastAsia="en-US"/>
        </w:rPr>
        <w:t>Дострокове погашення субординованого боргу</w:t>
      </w:r>
      <w:r w:rsidR="00C10D2D" w:rsidRPr="00455AD4">
        <w:rPr>
          <w:lang w:eastAsia="en-US"/>
        </w:rPr>
        <w:t xml:space="preserve"> може відбуватися за </w:t>
      </w:r>
      <w:r w:rsidR="00455AD4" w:rsidRPr="00455AD4">
        <w:rPr>
          <w:lang w:eastAsia="en-US"/>
        </w:rPr>
        <w:t>ініціативою</w:t>
      </w:r>
      <w:r w:rsidR="00C10D2D" w:rsidRPr="00455AD4">
        <w:rPr>
          <w:lang w:eastAsia="en-US"/>
        </w:rPr>
        <w:t xml:space="preserve"> страховика та </w:t>
      </w:r>
      <w:r w:rsidR="00455AD4" w:rsidRPr="00455AD4">
        <w:rPr>
          <w:lang w:eastAsia="en-US"/>
        </w:rPr>
        <w:t xml:space="preserve">за згодою </w:t>
      </w:r>
      <w:r w:rsidR="00C10D2D" w:rsidRPr="00455AD4">
        <w:rPr>
          <w:lang w:eastAsia="en-US"/>
        </w:rPr>
        <w:t xml:space="preserve">інвестора за умови </w:t>
      </w:r>
      <w:r w:rsidR="00455AD4" w:rsidRPr="00455AD4">
        <w:rPr>
          <w:lang w:eastAsia="en-US"/>
        </w:rPr>
        <w:t>отримання</w:t>
      </w:r>
      <w:r w:rsidR="00C10D2D" w:rsidRPr="00455AD4">
        <w:rPr>
          <w:lang w:eastAsia="en-US"/>
        </w:rPr>
        <w:t xml:space="preserve"> Дозволу</w:t>
      </w:r>
      <w:r w:rsidR="00455AD4" w:rsidRPr="00455AD4">
        <w:rPr>
          <w:lang w:eastAsia="en-US"/>
        </w:rPr>
        <w:t xml:space="preserve"> на дострокове погашення субординованого боргу в порядку, визначеному </w:t>
      </w:r>
      <w:r w:rsidR="00455AD4">
        <w:rPr>
          <w:lang w:eastAsia="en-US"/>
        </w:rPr>
        <w:t>цим</w:t>
      </w:r>
      <w:r w:rsidR="00455AD4" w:rsidRPr="00455AD4">
        <w:rPr>
          <w:lang w:eastAsia="en-US"/>
        </w:rPr>
        <w:t xml:space="preserve"> Положення</w:t>
      </w:r>
      <w:r w:rsidR="00455AD4">
        <w:rPr>
          <w:lang w:eastAsia="en-US"/>
        </w:rPr>
        <w:t>м</w:t>
      </w:r>
      <w:r w:rsidR="00455AD4" w:rsidRPr="00455AD4">
        <w:rPr>
          <w:lang w:eastAsia="en-US"/>
        </w:rPr>
        <w:t>.</w:t>
      </w:r>
      <w:r w:rsidRPr="00455AD4">
        <w:rPr>
          <w:lang w:eastAsia="en-US"/>
        </w:rPr>
        <w:t xml:space="preserve"> </w:t>
      </w:r>
    </w:p>
    <w:p w14:paraId="1A15F7F4" w14:textId="532519E5" w:rsidR="00455AD4" w:rsidRDefault="00C77BFD" w:rsidP="00455AD4">
      <w:pPr>
        <w:pBdr>
          <w:top w:val="nil"/>
          <w:left w:val="nil"/>
          <w:bottom w:val="nil"/>
          <w:right w:val="nil"/>
          <w:between w:val="nil"/>
        </w:pBdr>
        <w:shd w:val="clear" w:color="auto" w:fill="FFFFFF"/>
        <w:tabs>
          <w:tab w:val="left" w:pos="1134"/>
        </w:tabs>
        <w:ind w:firstLine="709"/>
        <w:rPr>
          <w:lang w:eastAsia="en-US"/>
        </w:rPr>
      </w:pPr>
      <w:r w:rsidRPr="007B42DF">
        <w:rPr>
          <w:lang w:eastAsia="en-US"/>
        </w:rPr>
        <w:t xml:space="preserve">Зміни щодо </w:t>
      </w:r>
      <w:r w:rsidR="00CD3F38" w:rsidRPr="007B42DF">
        <w:rPr>
          <w:lang w:eastAsia="en-US"/>
        </w:rPr>
        <w:t>продовження дії</w:t>
      </w:r>
      <w:r w:rsidR="009515A1" w:rsidRPr="007B42DF">
        <w:rPr>
          <w:lang w:eastAsia="en-US"/>
        </w:rPr>
        <w:t xml:space="preserve"> угоди (договору)</w:t>
      </w:r>
      <w:r w:rsidR="00CD3F38" w:rsidRPr="007B42DF">
        <w:rPr>
          <w:lang w:eastAsia="en-US"/>
        </w:rPr>
        <w:t>, змін</w:t>
      </w:r>
      <w:r w:rsidRPr="007B42DF">
        <w:rPr>
          <w:lang w:eastAsia="en-US"/>
        </w:rPr>
        <w:t>и</w:t>
      </w:r>
      <w:r w:rsidR="00CD3F38" w:rsidRPr="007B42DF">
        <w:rPr>
          <w:lang w:eastAsia="en-US"/>
        </w:rPr>
        <w:t xml:space="preserve"> назви страховика/інвестора </w:t>
      </w:r>
      <w:r w:rsidRPr="007B42DF">
        <w:rPr>
          <w:lang w:eastAsia="en-US"/>
        </w:rPr>
        <w:t xml:space="preserve">можуть бути внесені </w:t>
      </w:r>
      <w:r w:rsidR="009167A4" w:rsidRPr="007B42DF">
        <w:rPr>
          <w:lang w:eastAsia="en-US"/>
        </w:rPr>
        <w:t>до угоди (договору)</w:t>
      </w:r>
      <w:r w:rsidR="00CD3F38" w:rsidRPr="007B42DF">
        <w:rPr>
          <w:lang w:eastAsia="en-US"/>
        </w:rPr>
        <w:t>.</w:t>
      </w:r>
      <w:r w:rsidRPr="007B42DF">
        <w:rPr>
          <w:lang w:eastAsia="en-US"/>
        </w:rPr>
        <w:t xml:space="preserve"> </w:t>
      </w:r>
      <w:r>
        <w:rPr>
          <w:lang w:eastAsia="en-US"/>
        </w:rPr>
        <w:t>Страховик у разі внесення таких змін до угоди (договору) має</w:t>
      </w:r>
      <w:r w:rsidRPr="00455AD4">
        <w:rPr>
          <w:lang w:eastAsia="en-US"/>
        </w:rPr>
        <w:t xml:space="preserve"> </w:t>
      </w:r>
      <w:r w:rsidR="009167A4">
        <w:rPr>
          <w:lang w:eastAsia="en-US"/>
        </w:rPr>
        <w:t xml:space="preserve">звернутися до Національного банку для </w:t>
      </w:r>
      <w:r w:rsidRPr="00455AD4">
        <w:rPr>
          <w:lang w:eastAsia="en-US"/>
        </w:rPr>
        <w:t>внесення змін до Дозволу</w:t>
      </w:r>
      <w:r w:rsidR="009167A4" w:rsidRPr="009167A4">
        <w:rPr>
          <w:lang w:eastAsia="en-US"/>
        </w:rPr>
        <w:t xml:space="preserve"> </w:t>
      </w:r>
      <w:r w:rsidR="009167A4" w:rsidRPr="00455AD4">
        <w:rPr>
          <w:lang w:eastAsia="en-US"/>
        </w:rPr>
        <w:t xml:space="preserve">в порядку, визначеному </w:t>
      </w:r>
      <w:r w:rsidR="009167A4">
        <w:rPr>
          <w:lang w:eastAsia="en-US"/>
        </w:rPr>
        <w:t>цим</w:t>
      </w:r>
      <w:r w:rsidR="009167A4" w:rsidRPr="00455AD4">
        <w:rPr>
          <w:lang w:eastAsia="en-US"/>
        </w:rPr>
        <w:t xml:space="preserve"> Положення</w:t>
      </w:r>
      <w:r w:rsidR="009167A4">
        <w:rPr>
          <w:lang w:eastAsia="en-US"/>
        </w:rPr>
        <w:t>м</w:t>
      </w:r>
      <w:r w:rsidRPr="00455AD4">
        <w:rPr>
          <w:lang w:eastAsia="en-US"/>
        </w:rPr>
        <w:t>.</w:t>
      </w:r>
    </w:p>
    <w:p w14:paraId="6C302D75" w14:textId="3B8F03F4" w:rsidR="00CD3F38" w:rsidRPr="00455AD4" w:rsidRDefault="00455AD4" w:rsidP="00455AD4">
      <w:pPr>
        <w:pBdr>
          <w:top w:val="nil"/>
          <w:left w:val="nil"/>
          <w:bottom w:val="nil"/>
          <w:right w:val="nil"/>
          <w:between w:val="nil"/>
        </w:pBdr>
        <w:shd w:val="clear" w:color="auto" w:fill="FFFFFF"/>
        <w:tabs>
          <w:tab w:val="left" w:pos="1134"/>
        </w:tabs>
        <w:ind w:firstLine="709"/>
        <w:rPr>
          <w:lang w:eastAsia="en-US"/>
        </w:rPr>
      </w:pPr>
      <w:r>
        <w:rPr>
          <w:lang w:eastAsia="en-US"/>
        </w:rPr>
        <w:t>Рішення про надання</w:t>
      </w:r>
      <w:r w:rsidRPr="00455AD4">
        <w:rPr>
          <w:lang w:eastAsia="en-US"/>
        </w:rPr>
        <w:t xml:space="preserve"> </w:t>
      </w:r>
      <w:r w:rsidRPr="00B35439">
        <w:rPr>
          <w:lang w:eastAsia="en-US"/>
        </w:rPr>
        <w:t>Дозволу на дострокове погашення субординованого боргу</w:t>
      </w:r>
      <w:r>
        <w:rPr>
          <w:lang w:eastAsia="en-US"/>
        </w:rPr>
        <w:t xml:space="preserve">, про </w:t>
      </w:r>
      <w:r w:rsidRPr="001A07EC">
        <w:rPr>
          <w:lang w:eastAsia="en-US"/>
        </w:rPr>
        <w:t>внесення змін до Дозволу</w:t>
      </w:r>
      <w:r>
        <w:rPr>
          <w:lang w:eastAsia="en-US"/>
        </w:rPr>
        <w:t xml:space="preserve"> приймається </w:t>
      </w:r>
      <w:r w:rsidRPr="00B35439">
        <w:rPr>
          <w:lang w:eastAsia="en-US"/>
        </w:rPr>
        <w:t>Комітет</w:t>
      </w:r>
      <w:r>
        <w:rPr>
          <w:lang w:eastAsia="en-US"/>
        </w:rPr>
        <w:t>ом</w:t>
      </w:r>
      <w:r w:rsidRPr="00B35439">
        <w:rPr>
          <w:lang w:eastAsia="en-US"/>
        </w:rPr>
        <w:t xml:space="preserve"> з питань нагляду</w:t>
      </w:r>
      <w:r>
        <w:rPr>
          <w:lang w:eastAsia="en-US"/>
        </w:rPr>
        <w:t>.</w:t>
      </w:r>
    </w:p>
    <w:p w14:paraId="0F4CCADB" w14:textId="77777777" w:rsidR="00CD3F38" w:rsidRPr="00B35439" w:rsidRDefault="00CD3F38" w:rsidP="00CD3F38">
      <w:pPr>
        <w:widowControl w:val="0"/>
        <w:shd w:val="clear" w:color="auto" w:fill="FFFFFF"/>
        <w:tabs>
          <w:tab w:val="left" w:pos="993"/>
          <w:tab w:val="left" w:pos="1134"/>
        </w:tabs>
        <w:ind w:firstLine="709"/>
        <w:contextualSpacing/>
        <w:rPr>
          <w:lang w:eastAsia="en-US"/>
        </w:rPr>
      </w:pPr>
    </w:p>
    <w:p w14:paraId="100EF606" w14:textId="31CDB2E3" w:rsidR="00CD3F38" w:rsidRPr="00B35439" w:rsidRDefault="00CD3F38" w:rsidP="00CD3F38">
      <w:pPr>
        <w:widowControl w:val="0"/>
        <w:numPr>
          <w:ilvl w:val="0"/>
          <w:numId w:val="4"/>
        </w:numPr>
        <w:tabs>
          <w:tab w:val="left" w:pos="1134"/>
        </w:tabs>
        <w:ind w:left="0" w:firstLine="709"/>
        <w:outlineLvl w:val="1"/>
        <w:rPr>
          <w:lang w:eastAsia="en-US"/>
        </w:rPr>
      </w:pPr>
      <w:r w:rsidRPr="00B35439">
        <w:rPr>
          <w:lang w:eastAsia="en-US"/>
        </w:rPr>
        <w:t xml:space="preserve">Страховик для отримання </w:t>
      </w:r>
      <w:r w:rsidR="00007D79" w:rsidRPr="00B35439">
        <w:rPr>
          <w:lang w:eastAsia="en-US"/>
        </w:rPr>
        <w:t>Д</w:t>
      </w:r>
      <w:r w:rsidRPr="00B35439">
        <w:rPr>
          <w:lang w:eastAsia="en-US"/>
        </w:rPr>
        <w:t>озволу на дострокове погашення субординованого боргу з дотриманням вимог, визначених пунктом 3</w:t>
      </w:r>
      <w:r w:rsidR="00B6012A" w:rsidRPr="00B35439">
        <w:rPr>
          <w:lang w:eastAsia="en-US"/>
        </w:rPr>
        <w:t>4</w:t>
      </w:r>
      <w:r w:rsidRPr="00B35439">
        <w:rPr>
          <w:lang w:eastAsia="en-US"/>
        </w:rPr>
        <w:t xml:space="preserve"> розділу VI цього Положення, надає до Національного банку:</w:t>
      </w:r>
    </w:p>
    <w:p w14:paraId="0B46DBC9" w14:textId="77777777" w:rsidR="006755D6" w:rsidRPr="00B35439" w:rsidRDefault="006755D6" w:rsidP="00CD3F38">
      <w:pPr>
        <w:widowControl w:val="0"/>
        <w:shd w:val="clear" w:color="auto" w:fill="FFFFFF"/>
        <w:tabs>
          <w:tab w:val="left" w:pos="993"/>
          <w:tab w:val="left" w:pos="1134"/>
        </w:tabs>
        <w:ind w:firstLine="709"/>
        <w:rPr>
          <w:lang w:eastAsia="en-US"/>
        </w:rPr>
      </w:pPr>
    </w:p>
    <w:p w14:paraId="2900FC14" w14:textId="7ED85C2A" w:rsidR="00CD3F38" w:rsidRPr="00B35439" w:rsidRDefault="00CD3F38" w:rsidP="0008788C">
      <w:pPr>
        <w:numPr>
          <w:ilvl w:val="0"/>
          <w:numId w:val="46"/>
        </w:numPr>
        <w:pBdr>
          <w:top w:val="nil"/>
          <w:left w:val="nil"/>
          <w:bottom w:val="nil"/>
          <w:right w:val="nil"/>
          <w:between w:val="nil"/>
        </w:pBdr>
        <w:shd w:val="clear" w:color="auto" w:fill="FFFFFF"/>
        <w:tabs>
          <w:tab w:val="left" w:pos="1134"/>
        </w:tabs>
        <w:rPr>
          <w:lang w:eastAsia="ru-RU"/>
        </w:rPr>
      </w:pPr>
      <w:r w:rsidRPr="00B35439">
        <w:rPr>
          <w:lang w:eastAsia="ru-RU"/>
        </w:rPr>
        <w:t>клопотання, яке містить інформацію про причини такого погашення;</w:t>
      </w:r>
    </w:p>
    <w:p w14:paraId="2476D983" w14:textId="77777777" w:rsidR="006755D6" w:rsidRPr="00B35439" w:rsidRDefault="006755D6" w:rsidP="00B35439">
      <w:pPr>
        <w:pBdr>
          <w:top w:val="nil"/>
          <w:left w:val="nil"/>
          <w:bottom w:val="nil"/>
          <w:right w:val="nil"/>
          <w:between w:val="nil"/>
        </w:pBdr>
        <w:shd w:val="clear" w:color="auto" w:fill="FFFFFF"/>
        <w:tabs>
          <w:tab w:val="left" w:pos="1134"/>
        </w:tabs>
        <w:ind w:left="709"/>
        <w:rPr>
          <w:lang w:eastAsia="ru-RU"/>
        </w:rPr>
      </w:pPr>
    </w:p>
    <w:p w14:paraId="25D35213" w14:textId="733E6B01" w:rsidR="00CD3F38" w:rsidRPr="00B35439" w:rsidRDefault="00CD3F38" w:rsidP="00B35439">
      <w:pPr>
        <w:numPr>
          <w:ilvl w:val="0"/>
          <w:numId w:val="46"/>
        </w:numPr>
        <w:pBdr>
          <w:top w:val="nil"/>
          <w:left w:val="nil"/>
          <w:bottom w:val="nil"/>
          <w:right w:val="nil"/>
          <w:between w:val="nil"/>
        </w:pBdr>
        <w:shd w:val="clear" w:color="auto" w:fill="FFFFFF"/>
        <w:tabs>
          <w:tab w:val="left" w:pos="1134"/>
        </w:tabs>
        <w:ind w:left="0" w:firstLine="709"/>
        <w:rPr>
          <w:lang w:eastAsia="ru-RU"/>
        </w:rPr>
      </w:pPr>
      <w:r w:rsidRPr="00B35439">
        <w:rPr>
          <w:lang w:eastAsia="ru-RU"/>
        </w:rPr>
        <w:t>письмове підтвердження інвестора про його згоду на дострокове погашення субординованого боргу;</w:t>
      </w:r>
    </w:p>
    <w:p w14:paraId="5C5D79D9" w14:textId="77777777" w:rsidR="006755D6" w:rsidRPr="00B35439" w:rsidRDefault="006755D6" w:rsidP="00B35439">
      <w:pPr>
        <w:pBdr>
          <w:top w:val="nil"/>
          <w:left w:val="nil"/>
          <w:bottom w:val="nil"/>
          <w:right w:val="nil"/>
          <w:between w:val="nil"/>
        </w:pBdr>
        <w:shd w:val="clear" w:color="auto" w:fill="FFFFFF"/>
        <w:tabs>
          <w:tab w:val="left" w:pos="1134"/>
        </w:tabs>
        <w:ind w:left="709"/>
        <w:rPr>
          <w:lang w:eastAsia="ru-RU"/>
        </w:rPr>
      </w:pPr>
    </w:p>
    <w:p w14:paraId="37006F54" w14:textId="287921F2" w:rsidR="00CD3F38" w:rsidRPr="00B35439" w:rsidRDefault="00CD3F38" w:rsidP="00B35439">
      <w:pPr>
        <w:numPr>
          <w:ilvl w:val="0"/>
          <w:numId w:val="46"/>
        </w:numPr>
        <w:pBdr>
          <w:top w:val="nil"/>
          <w:left w:val="nil"/>
          <w:bottom w:val="nil"/>
          <w:right w:val="nil"/>
          <w:between w:val="nil"/>
        </w:pBdr>
        <w:shd w:val="clear" w:color="auto" w:fill="FFFFFF"/>
        <w:tabs>
          <w:tab w:val="left" w:pos="1134"/>
        </w:tabs>
        <w:ind w:left="0" w:firstLine="709"/>
        <w:rPr>
          <w:lang w:eastAsia="ru-RU"/>
        </w:rPr>
      </w:pPr>
      <w:r w:rsidRPr="00B35439">
        <w:rPr>
          <w:lang w:eastAsia="ru-RU"/>
        </w:rPr>
        <w:t>копії документів та інформацію, пояснення, що підтверджують виконання страховиком нормативів, передбачених цим Положенням, за вирахуванням суми погашення субординованого боргу.</w:t>
      </w:r>
    </w:p>
    <w:p w14:paraId="26BBCDD9" w14:textId="77777777" w:rsidR="00CD3F38" w:rsidRPr="00B35439" w:rsidRDefault="00CD3F38" w:rsidP="00CD3F38">
      <w:pPr>
        <w:widowControl w:val="0"/>
        <w:shd w:val="clear" w:color="auto" w:fill="FFFFFF"/>
        <w:tabs>
          <w:tab w:val="left" w:pos="993"/>
          <w:tab w:val="left" w:pos="1134"/>
        </w:tabs>
        <w:ind w:firstLine="709"/>
        <w:rPr>
          <w:lang w:eastAsia="en-US"/>
        </w:rPr>
      </w:pPr>
    </w:p>
    <w:p w14:paraId="0DD4B9A1" w14:textId="3B547F3D" w:rsidR="00CD3F38" w:rsidRPr="00B35439" w:rsidRDefault="00CD3F38" w:rsidP="00CD3F38">
      <w:pPr>
        <w:widowControl w:val="0"/>
        <w:numPr>
          <w:ilvl w:val="0"/>
          <w:numId w:val="4"/>
        </w:numPr>
        <w:tabs>
          <w:tab w:val="left" w:pos="1134"/>
        </w:tabs>
        <w:ind w:left="0" w:firstLine="709"/>
        <w:outlineLvl w:val="1"/>
        <w:rPr>
          <w:lang w:eastAsia="en-US"/>
        </w:rPr>
      </w:pPr>
      <w:r w:rsidRPr="00B35439">
        <w:rPr>
          <w:rFonts w:eastAsiaTheme="majorEastAsia"/>
          <w:lang w:eastAsia="en-US"/>
        </w:rPr>
        <w:t>Страховик</w:t>
      </w:r>
      <w:r w:rsidRPr="00B35439">
        <w:rPr>
          <w:lang w:eastAsia="en-US"/>
        </w:rPr>
        <w:t xml:space="preserve"> протягом 10 робочих днів із дня внесення змін щодо продовження строку дії угоди (договору), але не пізніше ніж за 30 робочих днів до закінчення дії Дозволу, надсилає до Національного банку клопотання щодо продовження дії Дозволу та документи, що передбачені підпунктами 2, 3, 5 пункту 3</w:t>
      </w:r>
      <w:r w:rsidR="00B6012A" w:rsidRPr="00B35439">
        <w:rPr>
          <w:lang w:eastAsia="en-US"/>
        </w:rPr>
        <w:t>3</w:t>
      </w:r>
      <w:r w:rsidRPr="00B35439">
        <w:rPr>
          <w:lang w:eastAsia="en-US"/>
        </w:rPr>
        <w:t xml:space="preserve"> розділу VІ до Положення.</w:t>
      </w:r>
    </w:p>
    <w:p w14:paraId="34E20704" w14:textId="77777777" w:rsidR="00CD3F38" w:rsidRPr="00B35439" w:rsidRDefault="00CD3F38" w:rsidP="00CD3F38">
      <w:pPr>
        <w:widowControl w:val="0"/>
        <w:shd w:val="clear" w:color="auto" w:fill="FFFFFF"/>
        <w:tabs>
          <w:tab w:val="left" w:pos="993"/>
          <w:tab w:val="left" w:pos="1134"/>
        </w:tabs>
        <w:ind w:firstLine="709"/>
        <w:rPr>
          <w:lang w:eastAsia="en-US"/>
        </w:rPr>
      </w:pPr>
      <w:r w:rsidRPr="00B35439">
        <w:rPr>
          <w:lang w:eastAsia="en-US"/>
        </w:rPr>
        <w:t>Кошти, залучені на умовах субординованого боргу, щодо якого продовжується строк дії угоди, уключаються до фактичного запасу платоспроможності для цілей дотримання нормативу платоспроможності та достатності капіталу з урахуванням нових умов угоди після дати прийняття Комітетом з питань нагляду рішення про продовження дії Дозволу.</w:t>
      </w:r>
    </w:p>
    <w:p w14:paraId="5E3400C3" w14:textId="77777777" w:rsidR="00CD3F38" w:rsidRPr="00B35439" w:rsidRDefault="00CD3F38" w:rsidP="00CD3F38">
      <w:pPr>
        <w:widowControl w:val="0"/>
        <w:shd w:val="clear" w:color="auto" w:fill="FFFFFF"/>
        <w:tabs>
          <w:tab w:val="left" w:pos="993"/>
          <w:tab w:val="left" w:pos="1134"/>
        </w:tabs>
        <w:ind w:firstLine="709"/>
        <w:contextualSpacing/>
        <w:rPr>
          <w:lang w:eastAsia="en-US"/>
        </w:rPr>
      </w:pPr>
    </w:p>
    <w:p w14:paraId="0C0E30A7" w14:textId="0885EF96" w:rsidR="00CD3F38" w:rsidRPr="00B35439" w:rsidRDefault="00CD3F38" w:rsidP="00CD3F38">
      <w:pPr>
        <w:widowControl w:val="0"/>
        <w:numPr>
          <w:ilvl w:val="0"/>
          <w:numId w:val="4"/>
        </w:numPr>
        <w:tabs>
          <w:tab w:val="left" w:pos="1134"/>
        </w:tabs>
        <w:ind w:left="0" w:firstLine="709"/>
        <w:outlineLvl w:val="1"/>
        <w:rPr>
          <w:lang w:eastAsia="en-US"/>
        </w:rPr>
      </w:pPr>
      <w:r w:rsidRPr="00B35439">
        <w:rPr>
          <w:rFonts w:eastAsiaTheme="majorEastAsia"/>
          <w:lang w:eastAsia="en-US"/>
        </w:rPr>
        <w:t>Страховик</w:t>
      </w:r>
      <w:r w:rsidRPr="00B35439">
        <w:rPr>
          <w:lang w:eastAsia="en-US"/>
        </w:rPr>
        <w:t xml:space="preserve"> протягом 10 робочих днів із дня внесення змін щодо</w:t>
      </w:r>
      <w:r w:rsidRPr="00B35439" w:rsidDel="005132AA">
        <w:rPr>
          <w:lang w:eastAsia="en-US"/>
        </w:rPr>
        <w:t xml:space="preserve"> </w:t>
      </w:r>
      <w:r w:rsidRPr="00B35439">
        <w:rPr>
          <w:lang w:eastAsia="en-US"/>
        </w:rPr>
        <w:t>найменування страховика та</w:t>
      </w:r>
      <w:r w:rsidR="006B3CEA" w:rsidRPr="00B35439">
        <w:rPr>
          <w:lang w:eastAsia="en-US"/>
        </w:rPr>
        <w:t>/або</w:t>
      </w:r>
      <w:r w:rsidRPr="00B35439">
        <w:rPr>
          <w:lang w:eastAsia="en-US"/>
        </w:rPr>
        <w:t xml:space="preserve"> інвестора надсилає до Національного банку клопотання щодо внесення відповідних змін до Дозволу та нотаріально засвідчену копію угоди (договору).</w:t>
      </w:r>
    </w:p>
    <w:p w14:paraId="176D3B28" w14:textId="77777777" w:rsidR="00CD3F38" w:rsidRPr="00B35439" w:rsidRDefault="00CD3F38" w:rsidP="00CD3F38">
      <w:pPr>
        <w:widowControl w:val="0"/>
        <w:shd w:val="clear" w:color="auto" w:fill="FFFFFF"/>
        <w:tabs>
          <w:tab w:val="left" w:pos="993"/>
          <w:tab w:val="left" w:pos="1134"/>
        </w:tabs>
        <w:ind w:firstLine="709"/>
        <w:contextualSpacing/>
        <w:rPr>
          <w:lang w:eastAsia="en-US"/>
        </w:rPr>
      </w:pPr>
    </w:p>
    <w:p w14:paraId="548321C1" w14:textId="4EE03C4D" w:rsidR="00CD3F38" w:rsidRPr="00B35439" w:rsidRDefault="00CD3F38" w:rsidP="00CD3F38">
      <w:pPr>
        <w:widowControl w:val="0"/>
        <w:numPr>
          <w:ilvl w:val="0"/>
          <w:numId w:val="4"/>
        </w:numPr>
        <w:tabs>
          <w:tab w:val="left" w:pos="1134"/>
        </w:tabs>
        <w:ind w:left="0" w:firstLine="709"/>
        <w:outlineLvl w:val="1"/>
        <w:rPr>
          <w:lang w:eastAsia="en-US"/>
        </w:rPr>
      </w:pPr>
      <w:r w:rsidRPr="007B42DF">
        <w:rPr>
          <w:lang w:eastAsia="en-US"/>
        </w:rPr>
        <w:t>Страховик у разі заміни інвестора протягом 10 робочих днів із дня такої заміни подає пакет документів до Національного банку для отримання дозволу щодо залучення</w:t>
      </w:r>
      <w:r w:rsidRPr="00B35439">
        <w:rPr>
          <w:lang w:eastAsia="en-US"/>
        </w:rPr>
        <w:t xml:space="preserve"> коштів на умовах субординованого боргу від нового інвестора (далі – дозвіл щодо нового інвестора) у порядку, передбаченому пунктами 3</w:t>
      </w:r>
      <w:r w:rsidR="00B6012A" w:rsidRPr="00B35439">
        <w:rPr>
          <w:lang w:eastAsia="en-US"/>
        </w:rPr>
        <w:t>3</w:t>
      </w:r>
      <w:r w:rsidR="005E10B5" w:rsidRPr="00B35439">
        <w:rPr>
          <w:lang w:eastAsia="en-US"/>
        </w:rPr>
        <w:t xml:space="preserve"> – </w:t>
      </w:r>
      <w:r w:rsidRPr="00B35439">
        <w:rPr>
          <w:lang w:eastAsia="en-US"/>
        </w:rPr>
        <w:t>3</w:t>
      </w:r>
      <w:r w:rsidR="00B6012A" w:rsidRPr="00B35439">
        <w:rPr>
          <w:lang w:eastAsia="en-US"/>
        </w:rPr>
        <w:t>5</w:t>
      </w:r>
      <w:r w:rsidRPr="00B35439">
        <w:rPr>
          <w:lang w:eastAsia="en-US"/>
        </w:rPr>
        <w:t xml:space="preserve"> розділу VІ Положення, а також нотаріально засвідчену копію документа, що свідчить про перехід прав та обов'язків до нового інвестора.</w:t>
      </w:r>
    </w:p>
    <w:p w14:paraId="45B2DA1B" w14:textId="77777777" w:rsidR="00CD3F38" w:rsidRPr="00B35439" w:rsidRDefault="00CD3F38" w:rsidP="00CD3F38">
      <w:pPr>
        <w:widowControl w:val="0"/>
        <w:shd w:val="clear" w:color="auto" w:fill="FFFFFF"/>
        <w:tabs>
          <w:tab w:val="left" w:pos="993"/>
          <w:tab w:val="left" w:pos="1134"/>
        </w:tabs>
        <w:ind w:firstLine="709"/>
        <w:rPr>
          <w:lang w:eastAsia="en-US"/>
        </w:rPr>
      </w:pPr>
      <w:r w:rsidRPr="00B35439">
        <w:rPr>
          <w:lang w:eastAsia="en-US"/>
        </w:rPr>
        <w:t>Під заміною інвестора мається на увазі перехід прав та обов'язків до нового інвестора на підставі укладеного договору про відступлення первісним інвестором права вимоги за угодою (договором) новому інвестору або внаслідок інших причин, передбачених законодавством України.</w:t>
      </w:r>
    </w:p>
    <w:p w14:paraId="79661459" w14:textId="5FD42F02" w:rsidR="00CD3F38" w:rsidRPr="00B35439" w:rsidRDefault="00CD3F38" w:rsidP="00CD3F38">
      <w:pPr>
        <w:widowControl w:val="0"/>
        <w:shd w:val="clear" w:color="auto" w:fill="FFFFFF"/>
        <w:tabs>
          <w:tab w:val="left" w:pos="993"/>
          <w:tab w:val="left" w:pos="1134"/>
        </w:tabs>
        <w:ind w:firstLine="709"/>
        <w:rPr>
          <w:lang w:eastAsia="en-US"/>
        </w:rPr>
      </w:pPr>
      <w:r w:rsidRPr="00B35439">
        <w:rPr>
          <w:lang w:eastAsia="en-US"/>
        </w:rPr>
        <w:t xml:space="preserve">Для отримання дозволу щодо нового інвестора страховик подає нотаріально засвідчену копію документа, що свідчить про перехід прав та обов'язків до нового інвестора, та документи, передбачені підпунктами 1 – 3, 5 пункту </w:t>
      </w:r>
      <w:r w:rsidR="005E10B5" w:rsidRPr="00B35439">
        <w:rPr>
          <w:lang w:eastAsia="en-US"/>
        </w:rPr>
        <w:t>3</w:t>
      </w:r>
      <w:r w:rsidR="00B6012A" w:rsidRPr="00B35439">
        <w:rPr>
          <w:lang w:eastAsia="en-US"/>
        </w:rPr>
        <w:t>3</w:t>
      </w:r>
      <w:r w:rsidRPr="00B35439">
        <w:rPr>
          <w:lang w:eastAsia="en-US"/>
        </w:rPr>
        <w:t xml:space="preserve"> розділу </w:t>
      </w:r>
      <w:r w:rsidR="005E10B5" w:rsidRPr="00B35439">
        <w:rPr>
          <w:lang w:eastAsia="en-US"/>
        </w:rPr>
        <w:t>V</w:t>
      </w:r>
      <w:r w:rsidRPr="00B35439">
        <w:rPr>
          <w:lang w:eastAsia="en-US"/>
        </w:rPr>
        <w:t>І Положення.</w:t>
      </w:r>
    </w:p>
    <w:p w14:paraId="5C2792AA" w14:textId="77777777" w:rsidR="00CD3F38" w:rsidRPr="00B35439" w:rsidRDefault="00CD3F38" w:rsidP="00CD3F38">
      <w:pPr>
        <w:widowControl w:val="0"/>
        <w:shd w:val="clear" w:color="auto" w:fill="FFFFFF"/>
        <w:tabs>
          <w:tab w:val="left" w:pos="993"/>
          <w:tab w:val="left" w:pos="1134"/>
        </w:tabs>
        <w:ind w:firstLine="709"/>
        <w:rPr>
          <w:lang w:eastAsia="en-US"/>
        </w:rPr>
      </w:pPr>
      <w:r w:rsidRPr="00B35439">
        <w:rPr>
          <w:lang w:eastAsia="en-US"/>
        </w:rPr>
        <w:t>За умови своєчасного подання страховиком відповідних документів на період розгляду Національним банком питання про надання дозволу щодо нового інвестора сума залучених коштів на умовах субординованого боргу, за якими відбувається заміна інвестора, не виключається із ФЗП.</w:t>
      </w:r>
    </w:p>
    <w:p w14:paraId="7532792B" w14:textId="6A1C4C12" w:rsidR="00CD3F38" w:rsidRPr="00B35439" w:rsidRDefault="00CD3F38" w:rsidP="00CD3F38">
      <w:pPr>
        <w:widowControl w:val="0"/>
        <w:shd w:val="clear" w:color="auto" w:fill="FFFFFF"/>
        <w:tabs>
          <w:tab w:val="left" w:pos="993"/>
          <w:tab w:val="left" w:pos="1134"/>
        </w:tabs>
        <w:ind w:firstLine="709"/>
        <w:rPr>
          <w:lang w:eastAsia="en-US"/>
        </w:rPr>
      </w:pPr>
      <w:r w:rsidRPr="00B35439">
        <w:rPr>
          <w:lang w:eastAsia="en-US"/>
        </w:rPr>
        <w:t>У дозволі щодо нового інвестора додатково зазначаються реквізити Дозволу (дата, номер, назва інвестора, сума та строк дії Дозволу).</w:t>
      </w:r>
    </w:p>
    <w:p w14:paraId="2C5F58AA" w14:textId="77777777" w:rsidR="00CD3F38" w:rsidRPr="00B35439" w:rsidRDefault="00CD3F38" w:rsidP="00CD3F38">
      <w:pPr>
        <w:widowControl w:val="0"/>
        <w:shd w:val="clear" w:color="auto" w:fill="FFFFFF"/>
        <w:tabs>
          <w:tab w:val="left" w:pos="993"/>
          <w:tab w:val="left" w:pos="1134"/>
        </w:tabs>
        <w:ind w:firstLine="709"/>
        <w:rPr>
          <w:lang w:eastAsia="en-US"/>
        </w:rPr>
      </w:pPr>
      <w:r w:rsidRPr="00B35439">
        <w:rPr>
          <w:lang w:eastAsia="en-US"/>
        </w:rPr>
        <w:t>Одночасно з прийняттям рішення про надання дозволу щодо нового інвестора Комітет з питань нагляду приймає рішення про скасування Дозволу щодо первісного інвестора.</w:t>
      </w:r>
    </w:p>
    <w:p w14:paraId="60D936EA" w14:textId="77777777" w:rsidR="00CD3F38" w:rsidRPr="00B35439" w:rsidRDefault="00CD3F38" w:rsidP="00CD3F38">
      <w:pPr>
        <w:widowControl w:val="0"/>
        <w:shd w:val="clear" w:color="auto" w:fill="FFFFFF"/>
        <w:tabs>
          <w:tab w:val="left" w:pos="993"/>
          <w:tab w:val="left" w:pos="1134"/>
        </w:tabs>
        <w:ind w:firstLine="709"/>
        <w:rPr>
          <w:lang w:eastAsia="en-US"/>
        </w:rPr>
      </w:pPr>
    </w:p>
    <w:p w14:paraId="081CA1F4" w14:textId="18930C80" w:rsidR="00CD3F38" w:rsidRPr="00B35439" w:rsidRDefault="00CD3F38" w:rsidP="00CD3F38">
      <w:pPr>
        <w:widowControl w:val="0"/>
        <w:numPr>
          <w:ilvl w:val="0"/>
          <w:numId w:val="4"/>
        </w:numPr>
        <w:tabs>
          <w:tab w:val="left" w:pos="1134"/>
        </w:tabs>
        <w:ind w:left="0" w:firstLine="709"/>
        <w:outlineLvl w:val="1"/>
        <w:rPr>
          <w:lang w:eastAsia="en-US"/>
        </w:rPr>
      </w:pPr>
      <w:r w:rsidRPr="00B35439">
        <w:rPr>
          <w:lang w:eastAsia="en-US"/>
        </w:rPr>
        <w:t xml:space="preserve">Сума залучених коштів на умовах субординованого боргу не враховується до фактичного запасу платоспроможності для цілей дотримання нормативу платоспроможності та достатності капіталу з наступного дня після закінчення відповідного строку на подачу документів до Національного банку у разі </w:t>
      </w:r>
      <w:r w:rsidR="00A845DA">
        <w:rPr>
          <w:lang w:eastAsia="en-US"/>
        </w:rPr>
        <w:t>не</w:t>
      </w:r>
      <w:r w:rsidRPr="00B35439">
        <w:rPr>
          <w:lang w:eastAsia="en-US"/>
        </w:rPr>
        <w:t>подання страховиком документів для внесення змін до Дозволу</w:t>
      </w:r>
      <w:r w:rsidR="00A845DA">
        <w:rPr>
          <w:lang w:eastAsia="en-US"/>
        </w:rPr>
        <w:t xml:space="preserve"> у випадках та у строки</w:t>
      </w:r>
      <w:r w:rsidRPr="00B35439">
        <w:rPr>
          <w:lang w:eastAsia="en-US"/>
        </w:rPr>
        <w:t>, передбачен</w:t>
      </w:r>
      <w:r w:rsidR="00A845DA">
        <w:rPr>
          <w:lang w:eastAsia="en-US"/>
        </w:rPr>
        <w:t>і</w:t>
      </w:r>
      <w:r w:rsidRPr="00B35439">
        <w:rPr>
          <w:lang w:eastAsia="en-US"/>
        </w:rPr>
        <w:t xml:space="preserve"> пунктами 5</w:t>
      </w:r>
      <w:r w:rsidR="00B6292A">
        <w:rPr>
          <w:lang w:eastAsia="en-US"/>
        </w:rPr>
        <w:t>8</w:t>
      </w:r>
      <w:r w:rsidRPr="00B35439">
        <w:rPr>
          <w:lang w:eastAsia="en-US"/>
        </w:rPr>
        <w:t xml:space="preserve"> – 5</w:t>
      </w:r>
      <w:r w:rsidR="00B6012A" w:rsidRPr="00B35439">
        <w:rPr>
          <w:lang w:eastAsia="en-US"/>
        </w:rPr>
        <w:t>9</w:t>
      </w:r>
      <w:r w:rsidRPr="00B35439">
        <w:rPr>
          <w:lang w:eastAsia="en-US"/>
        </w:rPr>
        <w:t xml:space="preserve"> розділу VІ цього Положення</w:t>
      </w:r>
      <w:r w:rsidR="007408A1">
        <w:rPr>
          <w:lang w:eastAsia="en-US"/>
        </w:rPr>
        <w:t xml:space="preserve">, або в інших випадках з наступного дня після </w:t>
      </w:r>
      <w:r w:rsidR="007408A1" w:rsidRPr="00B35439">
        <w:rPr>
          <w:lang w:eastAsia="en-US"/>
        </w:rPr>
        <w:t>закінчення дії Дозволу</w:t>
      </w:r>
      <w:r w:rsidRPr="00B35439">
        <w:rPr>
          <w:lang w:eastAsia="en-US"/>
        </w:rPr>
        <w:t>.</w:t>
      </w:r>
    </w:p>
    <w:p w14:paraId="4D7DB32E" w14:textId="77777777" w:rsidR="00CD3F38" w:rsidRPr="00B35439" w:rsidRDefault="00CD3F38" w:rsidP="00CD3F38">
      <w:pPr>
        <w:widowControl w:val="0"/>
        <w:shd w:val="clear" w:color="auto" w:fill="FFFFFF"/>
        <w:tabs>
          <w:tab w:val="left" w:pos="993"/>
          <w:tab w:val="left" w:pos="1134"/>
        </w:tabs>
        <w:ind w:firstLine="709"/>
        <w:contextualSpacing/>
        <w:rPr>
          <w:lang w:eastAsia="en-US"/>
        </w:rPr>
      </w:pPr>
    </w:p>
    <w:p w14:paraId="6A4FC59F" w14:textId="77777777" w:rsidR="00CD3F38" w:rsidRPr="00B35439" w:rsidRDefault="00CD3F38" w:rsidP="00CD3F38">
      <w:pPr>
        <w:widowControl w:val="0"/>
        <w:numPr>
          <w:ilvl w:val="0"/>
          <w:numId w:val="4"/>
        </w:numPr>
        <w:tabs>
          <w:tab w:val="left" w:pos="1134"/>
        </w:tabs>
        <w:ind w:left="0" w:firstLine="709"/>
        <w:outlineLvl w:val="1"/>
        <w:rPr>
          <w:lang w:eastAsia="en-US"/>
        </w:rPr>
      </w:pPr>
      <w:r w:rsidRPr="00B35439">
        <w:rPr>
          <w:lang w:eastAsia="en-US"/>
        </w:rPr>
        <w:t>Кошти, залучені на умовах субординованого боргу, щодо якого продовжується строк дії угоди або були внесені інші зміни, передбачені розділом VІ цього Положення, включаються до фактичного запасу платоспроможності для цілей дотримання нормативу платоспроможності та достатності капіталу з урахуванням нових умов угоди після дати прийняття Національним банком рішення про продовження дії Дозволу.</w:t>
      </w:r>
    </w:p>
    <w:p w14:paraId="115D63C5" w14:textId="77777777" w:rsidR="00CD3F38" w:rsidRPr="00B35439" w:rsidRDefault="00CD3F38" w:rsidP="00CD3F38">
      <w:pPr>
        <w:widowControl w:val="0"/>
        <w:shd w:val="clear" w:color="auto" w:fill="FFFFFF"/>
        <w:tabs>
          <w:tab w:val="left" w:pos="993"/>
          <w:tab w:val="left" w:pos="1134"/>
        </w:tabs>
        <w:ind w:firstLine="709"/>
        <w:rPr>
          <w:lang w:eastAsia="en-US"/>
        </w:rPr>
      </w:pPr>
    </w:p>
    <w:p w14:paraId="46C92B79" w14:textId="14587139" w:rsidR="00CD3F38" w:rsidRPr="00B35439" w:rsidRDefault="00CD3F38" w:rsidP="00CD3F38">
      <w:pPr>
        <w:widowControl w:val="0"/>
        <w:numPr>
          <w:ilvl w:val="0"/>
          <w:numId w:val="4"/>
        </w:numPr>
        <w:tabs>
          <w:tab w:val="left" w:pos="1134"/>
        </w:tabs>
        <w:ind w:left="0" w:firstLine="709"/>
        <w:outlineLvl w:val="1"/>
        <w:rPr>
          <w:lang w:eastAsia="en-US"/>
        </w:rPr>
      </w:pPr>
      <w:r w:rsidRPr="00B35439">
        <w:rPr>
          <w:lang w:eastAsia="en-US"/>
        </w:rPr>
        <w:t xml:space="preserve">Національний банк здійснює контроль за виконанням страховиком (та інвестором, якщо таким є інший страховик-резидент) умов угоди (договору), </w:t>
      </w:r>
      <w:r w:rsidRPr="00B35439">
        <w:rPr>
          <w:lang w:eastAsia="en-US"/>
        </w:rPr>
        <w:lastRenderedPageBreak/>
        <w:t>бізнес-плану та дотриманням ним вимог пункту 4</w:t>
      </w:r>
      <w:r w:rsidR="00B6012A" w:rsidRPr="00B35439">
        <w:rPr>
          <w:lang w:eastAsia="en-US"/>
        </w:rPr>
        <w:t>1</w:t>
      </w:r>
      <w:r w:rsidRPr="00B35439">
        <w:rPr>
          <w:lang w:eastAsia="en-US"/>
        </w:rPr>
        <w:t xml:space="preserve"> розділу VI цього Положення під час проведення інспекційної перевірки.</w:t>
      </w:r>
    </w:p>
    <w:p w14:paraId="2E958F8F" w14:textId="77777777" w:rsidR="00CD3F38" w:rsidRPr="00B35439" w:rsidRDefault="00CD3F38" w:rsidP="00CD3F38">
      <w:pPr>
        <w:shd w:val="clear" w:color="auto" w:fill="FFFFFF"/>
        <w:tabs>
          <w:tab w:val="left" w:pos="1134"/>
        </w:tabs>
        <w:ind w:firstLine="709"/>
        <w:contextualSpacing/>
        <w:rPr>
          <w:lang w:eastAsia="ru-RU"/>
        </w:rPr>
      </w:pPr>
    </w:p>
    <w:p w14:paraId="3AB1292E" w14:textId="31A47D4F" w:rsidR="00CD3F38" w:rsidRPr="00B35439" w:rsidRDefault="00CD3F38" w:rsidP="00CD3F38">
      <w:pPr>
        <w:widowControl w:val="0"/>
        <w:numPr>
          <w:ilvl w:val="0"/>
          <w:numId w:val="4"/>
        </w:numPr>
        <w:tabs>
          <w:tab w:val="left" w:pos="1134"/>
        </w:tabs>
        <w:ind w:left="0" w:firstLine="709"/>
        <w:outlineLvl w:val="1"/>
        <w:rPr>
          <w:lang w:eastAsia="ru-RU"/>
        </w:rPr>
      </w:pPr>
      <w:r w:rsidRPr="00B35439">
        <w:rPr>
          <w:lang w:eastAsia="ru-RU"/>
        </w:rPr>
        <w:t>Страховик зобов’язаний повідомляти Національний банк про укладення угод та здійснення операцій, що передбачені пункт</w:t>
      </w:r>
      <w:r w:rsidR="00224D16" w:rsidRPr="00B35439">
        <w:rPr>
          <w:lang w:eastAsia="ru-RU"/>
        </w:rPr>
        <w:t>ом</w:t>
      </w:r>
      <w:r w:rsidRPr="00B35439">
        <w:rPr>
          <w:lang w:eastAsia="ru-RU"/>
        </w:rPr>
        <w:t xml:space="preserve"> </w:t>
      </w:r>
      <w:r w:rsidR="00B6012A" w:rsidRPr="00B35439">
        <w:rPr>
          <w:lang w:eastAsia="ru-RU"/>
        </w:rPr>
        <w:t>40</w:t>
      </w:r>
      <w:r w:rsidRPr="00B35439">
        <w:rPr>
          <w:lang w:eastAsia="ru-RU"/>
        </w:rPr>
        <w:t xml:space="preserve"> </w:t>
      </w:r>
      <w:r w:rsidRPr="00B35439">
        <w:rPr>
          <w:rFonts w:eastAsia="Calibri"/>
          <w:lang w:eastAsia="en-US"/>
        </w:rPr>
        <w:t xml:space="preserve">розділу VI цього </w:t>
      </w:r>
      <w:r w:rsidRPr="00B35439">
        <w:rPr>
          <w:lang w:eastAsia="ru-RU"/>
        </w:rPr>
        <w:t xml:space="preserve">Положенням, </w:t>
      </w:r>
      <w:r w:rsidR="00224D16" w:rsidRPr="00B35439">
        <w:rPr>
          <w:lang w:eastAsia="ru-RU"/>
        </w:rPr>
        <w:t xml:space="preserve">а також про укладення угод та здійснення операцій з пов’язаними з інвестором особами </w:t>
      </w:r>
      <w:r w:rsidRPr="00B35439">
        <w:rPr>
          <w:lang w:eastAsia="ru-RU"/>
        </w:rPr>
        <w:t>протягом 3 робочих днів з дня їх укладення або здійснення відповідно.</w:t>
      </w:r>
    </w:p>
    <w:p w14:paraId="3985A772" w14:textId="77777777" w:rsidR="00CD3F38" w:rsidRPr="00B35439" w:rsidRDefault="00CD3F38" w:rsidP="00CD3F38">
      <w:pPr>
        <w:tabs>
          <w:tab w:val="left" w:pos="1134"/>
        </w:tabs>
        <w:ind w:firstLine="709"/>
        <w:contextualSpacing/>
      </w:pPr>
    </w:p>
    <w:p w14:paraId="5775A32B" w14:textId="77777777" w:rsidR="00CD3F38" w:rsidRPr="00B35439" w:rsidRDefault="00CD3F38" w:rsidP="00CD3F38">
      <w:pPr>
        <w:widowControl w:val="0"/>
        <w:numPr>
          <w:ilvl w:val="0"/>
          <w:numId w:val="4"/>
        </w:numPr>
        <w:tabs>
          <w:tab w:val="left" w:pos="1134"/>
        </w:tabs>
        <w:ind w:left="0" w:firstLine="709"/>
        <w:outlineLvl w:val="1"/>
        <w:rPr>
          <w:rFonts w:eastAsia="Calibri"/>
          <w:lang w:eastAsia="en-US"/>
        </w:rPr>
      </w:pPr>
      <w:r w:rsidRPr="00B35439">
        <w:rPr>
          <w:rFonts w:eastAsia="Calibri"/>
          <w:lang w:eastAsia="en-US"/>
        </w:rPr>
        <w:t>Комітет з питань нагляду протягом 30 робочих днів із дня отримання наданої інформації та/або поданих документів, інформації, отриманої Національним банком під час здійснення ним нагляду та регулювання діяльності ринків фінансових послуг, інформації з офіційних джерел має право прийняти рішення про скасування Дозволу з таких підстав:</w:t>
      </w:r>
    </w:p>
    <w:p w14:paraId="570191E5" w14:textId="77777777" w:rsidR="00CD3F38" w:rsidRPr="00B35439" w:rsidRDefault="00CD3F38" w:rsidP="00CD3F38">
      <w:pPr>
        <w:shd w:val="clear" w:color="auto" w:fill="FFFFFF"/>
        <w:tabs>
          <w:tab w:val="left" w:pos="1134"/>
        </w:tabs>
        <w:ind w:firstLine="709"/>
        <w:rPr>
          <w:lang w:eastAsia="ru-RU"/>
        </w:rPr>
      </w:pPr>
    </w:p>
    <w:p w14:paraId="7246DFE5" w14:textId="77777777" w:rsidR="00CD3F38" w:rsidRPr="00B35439" w:rsidRDefault="00CD3F38" w:rsidP="00CD3F38">
      <w:pPr>
        <w:numPr>
          <w:ilvl w:val="0"/>
          <w:numId w:val="38"/>
        </w:numPr>
        <w:tabs>
          <w:tab w:val="left" w:pos="1134"/>
        </w:tabs>
        <w:ind w:left="0" w:firstLine="709"/>
        <w:jc w:val="left"/>
      </w:pPr>
      <w:r w:rsidRPr="00B35439">
        <w:t>подання страховиком клопотання про скасування Дозволу;</w:t>
      </w:r>
    </w:p>
    <w:p w14:paraId="24084F00" w14:textId="77777777" w:rsidR="00CD3F38" w:rsidRPr="00B35439" w:rsidRDefault="00CD3F38" w:rsidP="00CD3F38">
      <w:pPr>
        <w:tabs>
          <w:tab w:val="left" w:pos="1134"/>
        </w:tabs>
        <w:ind w:firstLine="709"/>
      </w:pPr>
    </w:p>
    <w:p w14:paraId="6DCB81BF" w14:textId="41DA2409" w:rsidR="00CD3F38" w:rsidRPr="00B35439" w:rsidRDefault="00CD3F38" w:rsidP="00CD3F38">
      <w:pPr>
        <w:numPr>
          <w:ilvl w:val="0"/>
          <w:numId w:val="38"/>
        </w:numPr>
        <w:tabs>
          <w:tab w:val="left" w:pos="1134"/>
        </w:tabs>
        <w:ind w:left="0" w:firstLine="709"/>
      </w:pPr>
      <w:r w:rsidRPr="00B35439">
        <w:t>отримання/виявлення Національним банком інформації, що свідчит</w:t>
      </w:r>
      <w:r w:rsidR="00A16CFF">
        <w:t>ь</w:t>
      </w:r>
      <w:r w:rsidRPr="00B35439">
        <w:t xml:space="preserve"> про невідповідність умов </w:t>
      </w:r>
      <w:r w:rsidRPr="00B35439">
        <w:rPr>
          <w:lang w:eastAsia="en-US"/>
        </w:rPr>
        <w:t>залучення коштів на умовах субординованого боргу</w:t>
      </w:r>
      <w:r w:rsidRPr="00B35439" w:rsidDel="006F6F22">
        <w:t xml:space="preserve"> </w:t>
      </w:r>
      <w:r w:rsidRPr="00B35439">
        <w:t>вимогам, установленим цим Положенням;</w:t>
      </w:r>
    </w:p>
    <w:p w14:paraId="333D78EB" w14:textId="77777777" w:rsidR="00CD3F38" w:rsidRPr="00B35439" w:rsidRDefault="00CD3F38" w:rsidP="00CD3F38">
      <w:pPr>
        <w:tabs>
          <w:tab w:val="left" w:pos="1134"/>
        </w:tabs>
        <w:ind w:firstLine="709"/>
      </w:pPr>
    </w:p>
    <w:p w14:paraId="5854A503" w14:textId="2FB27EA3" w:rsidR="00CD3F38" w:rsidRPr="00B35439" w:rsidRDefault="00CD3F38" w:rsidP="00CD3F38">
      <w:pPr>
        <w:numPr>
          <w:ilvl w:val="0"/>
          <w:numId w:val="38"/>
        </w:numPr>
        <w:tabs>
          <w:tab w:val="left" w:pos="1134"/>
        </w:tabs>
        <w:ind w:left="0" w:firstLine="709"/>
      </w:pPr>
      <w:r w:rsidRPr="00B35439">
        <w:t xml:space="preserve">установлення факту подання недостовірної інформації в документах, які були підставою для </w:t>
      </w:r>
      <w:r w:rsidR="00B35439" w:rsidRPr="00B35439">
        <w:t>надання Дозволу та/або внесення</w:t>
      </w:r>
      <w:r w:rsidRPr="00B35439">
        <w:t xml:space="preserve"> змін до Дозволу.</w:t>
      </w:r>
    </w:p>
    <w:p w14:paraId="424B5588" w14:textId="77777777" w:rsidR="00CD3F38" w:rsidRPr="00B35439" w:rsidRDefault="00CD3F38" w:rsidP="00CD3F38">
      <w:pPr>
        <w:tabs>
          <w:tab w:val="left" w:pos="1134"/>
        </w:tabs>
        <w:ind w:firstLine="709"/>
      </w:pPr>
    </w:p>
    <w:p w14:paraId="6DDAA284" w14:textId="5AD8CF80" w:rsidR="00683C9D" w:rsidRPr="007B42DF" w:rsidRDefault="00683C9D" w:rsidP="007B42DF">
      <w:pPr>
        <w:widowControl w:val="0"/>
        <w:numPr>
          <w:ilvl w:val="0"/>
          <w:numId w:val="4"/>
        </w:numPr>
        <w:tabs>
          <w:tab w:val="left" w:pos="1134"/>
        </w:tabs>
        <w:ind w:left="0" w:firstLine="709"/>
        <w:outlineLvl w:val="1"/>
        <w:rPr>
          <w:shd w:val="clear" w:color="auto" w:fill="FFFFFF"/>
        </w:rPr>
      </w:pPr>
      <w:r w:rsidRPr="007B42DF">
        <w:rPr>
          <w:shd w:val="clear" w:color="auto" w:fill="FFFFFF"/>
        </w:rPr>
        <w:t xml:space="preserve">Національний банк протягом трьох робочих днів із дня прийняття рішення </w:t>
      </w:r>
      <w:r w:rsidRPr="007B42DF">
        <w:rPr>
          <w:lang w:eastAsia="en-US"/>
        </w:rPr>
        <w:t>щодо Дозволу</w:t>
      </w:r>
      <w:r w:rsidR="007B42DF" w:rsidRPr="007B42DF">
        <w:rPr>
          <w:shd w:val="clear" w:color="auto" w:fill="FFFFFF"/>
        </w:rPr>
        <w:t xml:space="preserve"> </w:t>
      </w:r>
      <w:r w:rsidRPr="007B42DF">
        <w:rPr>
          <w:shd w:val="clear" w:color="auto" w:fill="FFFFFF"/>
        </w:rPr>
        <w:t>повідомляє про прийняте рішення страховика шляхом надсилання копії/примірника рішення</w:t>
      </w:r>
      <w:r w:rsidR="00D20F79" w:rsidRPr="007B42DF">
        <w:rPr>
          <w:shd w:val="clear" w:color="auto" w:fill="FFFFFF"/>
        </w:rPr>
        <w:t xml:space="preserve"> щодо Дозволу</w:t>
      </w:r>
      <w:r w:rsidRPr="007B42DF">
        <w:rPr>
          <w:shd w:val="clear" w:color="auto" w:fill="FFFFFF"/>
        </w:rPr>
        <w:t>:</w:t>
      </w:r>
    </w:p>
    <w:p w14:paraId="354E849A" w14:textId="77777777" w:rsidR="00600CC2" w:rsidRDefault="00600CC2" w:rsidP="00600CC2">
      <w:pPr>
        <w:pStyle w:val="af3"/>
        <w:tabs>
          <w:tab w:val="left" w:pos="1134"/>
        </w:tabs>
        <w:ind w:left="709"/>
        <w:rPr>
          <w:shd w:val="clear" w:color="auto" w:fill="FFFFFF"/>
        </w:rPr>
      </w:pPr>
    </w:p>
    <w:p w14:paraId="77999EA1" w14:textId="1458FF80" w:rsidR="00683C9D" w:rsidRPr="00600CC2" w:rsidRDefault="00683C9D" w:rsidP="00600CC2">
      <w:pPr>
        <w:pStyle w:val="af3"/>
        <w:numPr>
          <w:ilvl w:val="0"/>
          <w:numId w:val="48"/>
        </w:numPr>
        <w:tabs>
          <w:tab w:val="left" w:pos="1134"/>
        </w:tabs>
        <w:ind w:left="0" w:firstLine="709"/>
        <w:rPr>
          <w:shd w:val="clear" w:color="auto" w:fill="FFFFFF"/>
        </w:rPr>
      </w:pPr>
      <w:r w:rsidRPr="00600CC2">
        <w:rPr>
          <w:shd w:val="clear" w:color="auto" w:fill="FFFFFF"/>
        </w:rPr>
        <w:t>в електронній формі на електронну адресу страховика разом із супровідним листом, підписаним кваліфікованим електронним підписом уповноваженої посадової особи Національного банку;</w:t>
      </w:r>
    </w:p>
    <w:p w14:paraId="107EFD5A" w14:textId="77777777" w:rsidR="00600CC2" w:rsidRDefault="00600CC2" w:rsidP="00600CC2">
      <w:pPr>
        <w:pStyle w:val="af3"/>
        <w:tabs>
          <w:tab w:val="left" w:pos="1134"/>
        </w:tabs>
        <w:ind w:left="709"/>
        <w:rPr>
          <w:shd w:val="clear" w:color="auto" w:fill="FFFFFF"/>
        </w:rPr>
      </w:pPr>
    </w:p>
    <w:p w14:paraId="5B679048" w14:textId="404ACBF3" w:rsidR="00683C9D" w:rsidRPr="00600CC2" w:rsidRDefault="00683C9D" w:rsidP="00600CC2">
      <w:pPr>
        <w:pStyle w:val="af3"/>
        <w:numPr>
          <w:ilvl w:val="0"/>
          <w:numId w:val="48"/>
        </w:numPr>
        <w:tabs>
          <w:tab w:val="left" w:pos="1134"/>
        </w:tabs>
        <w:ind w:left="0" w:firstLine="709"/>
        <w:rPr>
          <w:shd w:val="clear" w:color="auto" w:fill="FFFFFF"/>
        </w:rPr>
      </w:pPr>
      <w:r w:rsidRPr="00600CC2">
        <w:rPr>
          <w:shd w:val="clear" w:color="auto" w:fill="FFFFFF"/>
        </w:rPr>
        <w:t>у паперовій формі на поштову адресу страховика рекомендованим листом із повідомленням про вручення разом із копією супровідного листа, засвідченого в порядку, установленому законодавством України.</w:t>
      </w:r>
    </w:p>
    <w:p w14:paraId="5DE466C0" w14:textId="77777777" w:rsidR="00FA08F1" w:rsidRPr="007B42DF" w:rsidRDefault="00FA08F1" w:rsidP="00683C9D">
      <w:pPr>
        <w:tabs>
          <w:tab w:val="left" w:pos="1134"/>
        </w:tabs>
        <w:ind w:firstLine="709"/>
        <w:rPr>
          <w:shd w:val="clear" w:color="auto" w:fill="FFFFFF"/>
        </w:rPr>
      </w:pPr>
    </w:p>
    <w:p w14:paraId="7AD72E4C" w14:textId="02D2C219" w:rsidR="00CD3F38" w:rsidRPr="007B42DF" w:rsidRDefault="005742FE" w:rsidP="005742FE">
      <w:pPr>
        <w:widowControl w:val="0"/>
        <w:numPr>
          <w:ilvl w:val="0"/>
          <w:numId w:val="4"/>
        </w:numPr>
        <w:tabs>
          <w:tab w:val="left" w:pos="1134"/>
        </w:tabs>
        <w:ind w:left="0" w:firstLine="709"/>
        <w:outlineLvl w:val="1"/>
        <w:rPr>
          <w:shd w:val="clear" w:color="auto" w:fill="FFFFFF"/>
        </w:rPr>
      </w:pPr>
      <w:r w:rsidRPr="007B42DF">
        <w:rPr>
          <w:shd w:val="clear" w:color="auto" w:fill="FFFFFF"/>
        </w:rPr>
        <w:t xml:space="preserve">Страховик вважається належним чином повідомленим про прийняте рішення щодо Дозволу за умови виконання Національним банком дій, визначених у пункті 65 розділу </w:t>
      </w:r>
      <w:r w:rsidRPr="007B42DF">
        <w:rPr>
          <w:shd w:val="clear" w:color="auto" w:fill="FFFFFF"/>
          <w:lang w:val="en-US"/>
        </w:rPr>
        <w:t>V</w:t>
      </w:r>
      <w:r w:rsidRPr="007B42DF">
        <w:rPr>
          <w:shd w:val="clear" w:color="auto" w:fill="FFFFFF"/>
        </w:rPr>
        <w:t>I цього Положення.</w:t>
      </w:r>
    </w:p>
    <w:p w14:paraId="6D68684E" w14:textId="77777777" w:rsidR="005742FE" w:rsidRPr="007B42DF" w:rsidRDefault="005742FE" w:rsidP="00CD3F38">
      <w:pPr>
        <w:widowControl w:val="0"/>
        <w:shd w:val="clear" w:color="auto" w:fill="FFFFFF"/>
        <w:tabs>
          <w:tab w:val="left" w:pos="993"/>
          <w:tab w:val="left" w:pos="1134"/>
        </w:tabs>
        <w:ind w:firstLine="709"/>
        <w:contextualSpacing/>
        <w:rPr>
          <w:lang w:eastAsia="en-US"/>
        </w:rPr>
      </w:pPr>
    </w:p>
    <w:p w14:paraId="2C18111F" w14:textId="48145D7A" w:rsidR="00CD3F38" w:rsidRDefault="00CD3F38" w:rsidP="00CD3F38">
      <w:pPr>
        <w:widowControl w:val="0"/>
        <w:numPr>
          <w:ilvl w:val="0"/>
          <w:numId w:val="4"/>
        </w:numPr>
        <w:tabs>
          <w:tab w:val="left" w:pos="1134"/>
        </w:tabs>
        <w:ind w:left="0" w:firstLine="709"/>
        <w:outlineLvl w:val="1"/>
      </w:pPr>
      <w:bookmarkStart w:id="441" w:name="_GoBack"/>
      <w:bookmarkEnd w:id="441"/>
      <w:r w:rsidRPr="007B42DF">
        <w:rPr>
          <w:lang w:eastAsia="en-US"/>
        </w:rPr>
        <w:t xml:space="preserve">Сума </w:t>
      </w:r>
      <w:proofErr w:type="spellStart"/>
      <w:r w:rsidRPr="007B42DF">
        <w:rPr>
          <w:lang w:eastAsia="en-US"/>
        </w:rPr>
        <w:t>субординованих</w:t>
      </w:r>
      <w:proofErr w:type="spellEnd"/>
      <w:r w:rsidRPr="007B42DF">
        <w:rPr>
          <w:lang w:eastAsia="en-US"/>
        </w:rPr>
        <w:t xml:space="preserve"> коштів не враховується страховиком до фактичного запасу платоспроможності для цілей дотримання нормативу </w:t>
      </w:r>
      <w:r w:rsidRPr="007B42DF">
        <w:rPr>
          <w:lang w:eastAsia="en-US"/>
        </w:rPr>
        <w:lastRenderedPageBreak/>
        <w:t xml:space="preserve">платоспроможності та достатності капіталу з </w:t>
      </w:r>
      <w:r w:rsidR="00110FFD" w:rsidRPr="007B42DF">
        <w:rPr>
          <w:lang w:eastAsia="en-US"/>
        </w:rPr>
        <w:t xml:space="preserve">наступного </w:t>
      </w:r>
      <w:r w:rsidRPr="007B42DF">
        <w:rPr>
          <w:lang w:eastAsia="en-US"/>
        </w:rPr>
        <w:t xml:space="preserve">робочого дня після </w:t>
      </w:r>
      <w:r w:rsidR="001F3E52" w:rsidRPr="007B42DF">
        <w:rPr>
          <w:lang w:eastAsia="en-US"/>
        </w:rPr>
        <w:t>повідомлення</w:t>
      </w:r>
      <w:r w:rsidRPr="007B42DF">
        <w:rPr>
          <w:lang w:eastAsia="en-US"/>
        </w:rPr>
        <w:t xml:space="preserve"> </w:t>
      </w:r>
      <w:r w:rsidR="00921DCA" w:rsidRPr="007B42DF">
        <w:rPr>
          <w:lang w:eastAsia="en-US"/>
        </w:rPr>
        <w:t xml:space="preserve">страховика про прийняте </w:t>
      </w:r>
      <w:r w:rsidRPr="007B42DF">
        <w:rPr>
          <w:lang w:eastAsia="en-US"/>
        </w:rPr>
        <w:t>рішення про скасування Дозволу.</w:t>
      </w:r>
    </w:p>
    <w:p w14:paraId="337CF2CE" w14:textId="77777777" w:rsidR="00A63A5A" w:rsidRDefault="00A63A5A" w:rsidP="00A63A5A">
      <w:pPr>
        <w:shd w:val="clear" w:color="auto" w:fill="FFFFFF"/>
        <w:tabs>
          <w:tab w:val="left" w:pos="1134"/>
        </w:tabs>
        <w:ind w:firstLine="709"/>
        <w:rPr>
          <w:lang w:eastAsia="ru-RU"/>
        </w:rPr>
      </w:pPr>
    </w:p>
    <w:p w14:paraId="5052E158" w14:textId="77777777" w:rsidR="00A63A5A" w:rsidRPr="007B42DF" w:rsidRDefault="00A63A5A" w:rsidP="00A63A5A">
      <w:pPr>
        <w:shd w:val="clear" w:color="auto" w:fill="FFFFFF"/>
        <w:tabs>
          <w:tab w:val="left" w:pos="1134"/>
        </w:tabs>
        <w:ind w:firstLine="709"/>
        <w:rPr>
          <w:lang w:eastAsia="ru-RU"/>
        </w:rPr>
      </w:pPr>
    </w:p>
    <w:p w14:paraId="1A1A45BE" w14:textId="06F6E6BA" w:rsidR="00CD3F38" w:rsidRPr="00B35439" w:rsidRDefault="00CD3F38" w:rsidP="00A63A5A">
      <w:pPr>
        <w:shd w:val="clear" w:color="auto" w:fill="FFFFFF"/>
        <w:tabs>
          <w:tab w:val="left" w:pos="1134"/>
        </w:tabs>
        <w:ind w:firstLine="709"/>
        <w:rPr>
          <w:lang w:eastAsia="ru-RU"/>
        </w:rPr>
        <w:sectPr w:rsidR="00CD3F38" w:rsidRPr="00B35439" w:rsidSect="0076159C">
          <w:pgSz w:w="11906" w:h="16838" w:code="9"/>
          <w:pgMar w:top="567" w:right="567" w:bottom="1701" w:left="1701" w:header="567" w:footer="567" w:gutter="0"/>
          <w:pgNumType w:start="1"/>
          <w:cols w:space="708"/>
          <w:titlePg/>
          <w:docGrid w:linePitch="381"/>
        </w:sectPr>
      </w:pPr>
      <w:bookmarkStart w:id="442" w:name="n202"/>
      <w:bookmarkStart w:id="443" w:name="n215"/>
      <w:bookmarkStart w:id="444" w:name="n216"/>
      <w:bookmarkStart w:id="445" w:name="n217"/>
      <w:bookmarkStart w:id="446" w:name="n218"/>
      <w:bookmarkStart w:id="447" w:name="n1807"/>
      <w:bookmarkStart w:id="448" w:name="n232"/>
      <w:bookmarkStart w:id="449" w:name="n233"/>
      <w:bookmarkStart w:id="450" w:name="n237"/>
      <w:bookmarkStart w:id="451" w:name="n238"/>
      <w:bookmarkStart w:id="452" w:name="n239"/>
      <w:bookmarkStart w:id="453" w:name="n246"/>
      <w:bookmarkStart w:id="454" w:name="n247"/>
      <w:bookmarkStart w:id="455" w:name="n248"/>
      <w:bookmarkStart w:id="456" w:name="n249"/>
      <w:bookmarkStart w:id="457" w:name="n250"/>
      <w:bookmarkStart w:id="458" w:name="n251"/>
      <w:bookmarkStart w:id="459" w:name="n252"/>
      <w:bookmarkStart w:id="460" w:name="n253"/>
      <w:bookmarkStart w:id="461" w:name="n254"/>
      <w:bookmarkStart w:id="462" w:name="n255"/>
      <w:bookmarkStart w:id="463" w:name="n1344"/>
      <w:bookmarkStart w:id="464" w:name="n1345"/>
      <w:bookmarkStart w:id="465" w:name="n257"/>
      <w:bookmarkStart w:id="466" w:name="n258"/>
      <w:bookmarkStart w:id="467" w:name="n1353"/>
      <w:bookmarkStart w:id="468" w:name="n1531"/>
      <w:bookmarkStart w:id="469" w:name="n1532"/>
      <w:bookmarkStart w:id="470" w:name="n322"/>
      <w:bookmarkStart w:id="471" w:name="n323"/>
      <w:bookmarkStart w:id="472" w:name="n324"/>
      <w:bookmarkStart w:id="473" w:name="n325"/>
      <w:bookmarkStart w:id="474" w:name="n326"/>
      <w:bookmarkStart w:id="475" w:name="n328"/>
      <w:bookmarkStart w:id="476" w:name="n330"/>
      <w:bookmarkStart w:id="477" w:name="n331"/>
      <w:bookmarkStart w:id="478" w:name="n332"/>
      <w:bookmarkStart w:id="479" w:name="n333"/>
      <w:bookmarkStart w:id="480" w:name="n334"/>
      <w:bookmarkStart w:id="481" w:name="n335"/>
      <w:bookmarkStart w:id="482" w:name="n336"/>
      <w:bookmarkStart w:id="483" w:name="n337"/>
      <w:bookmarkStart w:id="484" w:name="n341"/>
      <w:bookmarkStart w:id="485" w:name="n344"/>
      <w:bookmarkStart w:id="486" w:name="n345"/>
      <w:bookmarkStart w:id="487" w:name="n346"/>
      <w:bookmarkStart w:id="488" w:name="n347"/>
      <w:bookmarkStart w:id="489" w:name="n348"/>
      <w:bookmarkStart w:id="490" w:name="n349"/>
      <w:bookmarkStart w:id="491" w:name="n350"/>
      <w:bookmarkStart w:id="492" w:name="n351"/>
      <w:bookmarkStart w:id="493" w:name="n352"/>
      <w:bookmarkStart w:id="494" w:name="n353"/>
      <w:bookmarkStart w:id="495" w:name="n354"/>
      <w:bookmarkStart w:id="496" w:name="n355"/>
      <w:bookmarkStart w:id="497" w:name="n356"/>
      <w:bookmarkStart w:id="498" w:name="n357"/>
      <w:bookmarkStart w:id="499" w:name="n358"/>
      <w:bookmarkStart w:id="500" w:name="n359"/>
      <w:bookmarkStart w:id="501" w:name="n360"/>
      <w:bookmarkStart w:id="502" w:name="n361"/>
      <w:bookmarkStart w:id="503" w:name="n366"/>
      <w:bookmarkStart w:id="504" w:name="n1810"/>
      <w:bookmarkStart w:id="505" w:name="n367"/>
      <w:bookmarkStart w:id="506" w:name="n387"/>
      <w:bookmarkStart w:id="507" w:name="n388"/>
      <w:bookmarkStart w:id="508" w:name="n389"/>
      <w:bookmarkStart w:id="509" w:name="n390"/>
      <w:bookmarkStart w:id="510" w:name="n391"/>
      <w:bookmarkStart w:id="511" w:name="n392"/>
      <w:bookmarkStart w:id="512" w:name="n394"/>
      <w:bookmarkStart w:id="513" w:name="n395"/>
      <w:bookmarkStart w:id="514" w:name="n407"/>
      <w:bookmarkStart w:id="515" w:name="n410"/>
      <w:bookmarkStart w:id="516" w:name="n411"/>
      <w:bookmarkStart w:id="517" w:name="n412"/>
      <w:bookmarkStart w:id="518" w:name="n415"/>
      <w:bookmarkStart w:id="519" w:name="n416"/>
      <w:bookmarkStart w:id="520" w:name="n417"/>
      <w:bookmarkStart w:id="521" w:name="n418"/>
      <w:bookmarkStart w:id="522" w:name="n419"/>
      <w:bookmarkStart w:id="523" w:name="n420"/>
      <w:bookmarkStart w:id="524" w:name="n422"/>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7CF24F07" w14:textId="4FC8B997" w:rsidR="00CD3F38" w:rsidRPr="00B35439" w:rsidRDefault="00CD3F38" w:rsidP="00CD3F38">
      <w:pPr>
        <w:widowControl w:val="0"/>
        <w:shd w:val="clear" w:color="auto" w:fill="FFFFFF"/>
        <w:tabs>
          <w:tab w:val="left" w:pos="1134"/>
          <w:tab w:val="left" w:pos="1276"/>
        </w:tabs>
        <w:ind w:left="5670"/>
        <w:contextualSpacing/>
        <w:jc w:val="left"/>
        <w:outlineLvl w:val="0"/>
      </w:pPr>
      <w:r w:rsidRPr="00B35439">
        <w:lastRenderedPageBreak/>
        <w:t>Додаток</w:t>
      </w:r>
      <w:r w:rsidR="00B05C4F" w:rsidRPr="00B35439">
        <w:t xml:space="preserve"> 1</w:t>
      </w:r>
    </w:p>
    <w:p w14:paraId="76CECAE8" w14:textId="77777777" w:rsidR="00CD3F38" w:rsidRPr="00B35439" w:rsidRDefault="00CD3F38" w:rsidP="00CD3F38">
      <w:pPr>
        <w:widowControl w:val="0"/>
        <w:ind w:left="5670"/>
        <w:contextualSpacing/>
      </w:pPr>
      <w:r w:rsidRPr="00B35439">
        <w:t xml:space="preserve">до Положення </w:t>
      </w:r>
      <w:r w:rsidRPr="00B35439">
        <w:rPr>
          <w:bCs/>
          <w:lang w:eastAsia="en-US"/>
        </w:rPr>
        <w:t>про обов’язкові критерії і нормативи достатності капіталу та платоспроможності, ліквідності, прибутковості, якості активів та ризиковості операцій страховика</w:t>
      </w:r>
    </w:p>
    <w:p w14:paraId="764B20C9" w14:textId="0E6808AF" w:rsidR="00CD3F38" w:rsidRPr="00B35439" w:rsidRDefault="00CD3F38" w:rsidP="00CD3F38">
      <w:pPr>
        <w:widowControl w:val="0"/>
        <w:tabs>
          <w:tab w:val="left" w:pos="1418"/>
        </w:tabs>
        <w:ind w:left="5670"/>
        <w:contextualSpacing/>
      </w:pPr>
      <w:r w:rsidRPr="00B35439">
        <w:t>(підпункт 2 пункту 2</w:t>
      </w:r>
      <w:r w:rsidR="00B6012A" w:rsidRPr="00B35439">
        <w:t>1</w:t>
      </w:r>
      <w:r w:rsidRPr="00B35439">
        <w:t xml:space="preserve"> розділу ІІІ)</w:t>
      </w:r>
    </w:p>
    <w:p w14:paraId="3B35BE9F" w14:textId="77777777" w:rsidR="00CD3F38" w:rsidRPr="00B35439" w:rsidRDefault="00CD3F38" w:rsidP="00CD3F38">
      <w:pPr>
        <w:widowControl w:val="0"/>
        <w:ind w:firstLine="709"/>
        <w:jc w:val="left"/>
      </w:pPr>
    </w:p>
    <w:p w14:paraId="17DEC07E" w14:textId="5DE5F2FB" w:rsidR="00CD3F38" w:rsidRPr="00B35439" w:rsidRDefault="00CD3F38" w:rsidP="00CD3F38">
      <w:pPr>
        <w:widowControl w:val="0"/>
        <w:ind w:firstLine="709"/>
        <w:jc w:val="center"/>
      </w:pPr>
      <w:r w:rsidRPr="00B35439">
        <w:rPr>
          <w:lang w:eastAsia="en-US"/>
        </w:rPr>
        <w:t>Порядок визначення нормативного запасу платоспроможності</w:t>
      </w:r>
      <w:r w:rsidR="00B05C4F" w:rsidRPr="00B35439">
        <w:rPr>
          <w:lang w:eastAsia="en-US"/>
        </w:rPr>
        <w:t xml:space="preserve"> </w:t>
      </w:r>
      <w:r w:rsidR="00B05C4F" w:rsidRPr="00B35439">
        <w:rPr>
          <w:rFonts w:eastAsiaTheme="majorEastAsia"/>
          <w:lang w:eastAsia="en-US"/>
        </w:rPr>
        <w:t>для страховика, який здійснює або планує здійснювати страхування життя</w:t>
      </w:r>
    </w:p>
    <w:p w14:paraId="578B565F" w14:textId="77777777" w:rsidR="00CD3F38" w:rsidRPr="00B35439" w:rsidRDefault="00CD3F38" w:rsidP="00CD3F38">
      <w:pPr>
        <w:widowControl w:val="0"/>
        <w:ind w:firstLine="709"/>
        <w:rPr>
          <w:lang w:eastAsia="en-US"/>
        </w:rPr>
      </w:pPr>
    </w:p>
    <w:p w14:paraId="177D67FC" w14:textId="4DE2CFF9" w:rsidR="00CD3F38" w:rsidRPr="00B35439" w:rsidRDefault="00CD3F38" w:rsidP="0086348E">
      <w:pPr>
        <w:keepNext/>
        <w:keepLines/>
        <w:tabs>
          <w:tab w:val="left" w:pos="993"/>
        </w:tabs>
        <w:spacing w:before="40"/>
        <w:ind w:firstLine="709"/>
        <w:outlineLvl w:val="1"/>
        <w:rPr>
          <w:rFonts w:eastAsiaTheme="majorEastAsia"/>
          <w:lang w:eastAsia="en-US"/>
        </w:rPr>
      </w:pPr>
      <w:r w:rsidRPr="00B35439">
        <w:rPr>
          <w:rFonts w:eastAsiaTheme="majorEastAsia"/>
          <w:lang w:eastAsia="en-US"/>
        </w:rPr>
        <w:t>Норм</w:t>
      </w:r>
      <w:r w:rsidR="00B35439" w:rsidRPr="00B35439">
        <w:rPr>
          <w:rFonts w:eastAsiaTheme="majorEastAsia"/>
          <w:lang w:eastAsia="en-US"/>
        </w:rPr>
        <w:t>ативний запас платоспроможності</w:t>
      </w:r>
      <w:r w:rsidRPr="00B35439">
        <w:rPr>
          <w:rFonts w:eastAsiaTheme="majorEastAsia"/>
          <w:lang w:eastAsia="en-US"/>
        </w:rPr>
        <w:t xml:space="preserve"> (</w:t>
      </w:r>
      <m:oMath>
        <m:sSup>
          <m:sSupPr>
            <m:ctrlPr>
              <w:rPr>
                <w:rFonts w:ascii="Cambria Math" w:eastAsiaTheme="majorEastAsia" w:hAnsi="Cambria Math"/>
                <w:lang w:eastAsia="en-US"/>
              </w:rPr>
            </m:ctrlPr>
          </m:sSupPr>
          <m:e>
            <m:r>
              <m:rPr>
                <m:sty m:val="p"/>
              </m:rPr>
              <w:rPr>
                <w:rFonts w:ascii="Cambria Math" w:eastAsiaTheme="majorEastAsia" w:hAnsi="Cambria Math"/>
                <w:lang w:eastAsia="en-US"/>
              </w:rPr>
              <m:t>НЗП</m:t>
            </m:r>
          </m:e>
          <m:sup>
            <m:r>
              <w:rPr>
                <w:rFonts w:ascii="Cambria Math" w:eastAsiaTheme="majorEastAsia" w:hAnsi="Cambria Math"/>
                <w:lang w:eastAsia="en-US"/>
              </w:rPr>
              <m:t>life</m:t>
            </m:r>
          </m:sup>
        </m:sSup>
      </m:oMath>
      <w:r w:rsidRPr="00B35439">
        <w:rPr>
          <w:rFonts w:eastAsiaTheme="majorEastAsia"/>
          <w:lang w:eastAsia="en-US"/>
        </w:rPr>
        <w:t xml:space="preserve">) визначається </w:t>
      </w:r>
      <w:r w:rsidR="00DD23F7">
        <w:rPr>
          <w:rFonts w:eastAsiaTheme="majorEastAsia"/>
          <w:lang w:eastAsia="en-US"/>
        </w:rPr>
        <w:t>за такою формулою</w:t>
      </w:r>
      <w:r w:rsidRPr="00B35439">
        <w:rPr>
          <w:rFonts w:eastAsiaTheme="majorEastAsia"/>
          <w:lang w:eastAsia="en-US"/>
        </w:rPr>
        <w:t>:</w:t>
      </w:r>
    </w:p>
    <w:p w14:paraId="410AF07C" w14:textId="77777777" w:rsidR="00CD3F38" w:rsidRPr="00B35439" w:rsidRDefault="00CD3F38" w:rsidP="00CD3F38">
      <w:pPr>
        <w:widowControl w:val="0"/>
        <w:ind w:firstLine="709"/>
        <w:contextualSpacing/>
        <w:rPr>
          <w:lang w:eastAsia="en-US"/>
        </w:rPr>
      </w:pPr>
    </w:p>
    <w:p w14:paraId="5BB898E4" w14:textId="77777777" w:rsidR="00CD3F38" w:rsidRPr="00B35439" w:rsidRDefault="00AD09A2" w:rsidP="00CD3F38">
      <w:pPr>
        <w:widowControl w:val="0"/>
        <w:ind w:firstLine="709"/>
        <w:jc w:val="center"/>
        <w:rPr>
          <w:lang w:eastAsia="en-US"/>
        </w:rPr>
      </w:pPr>
      <m:oMath>
        <m:sSup>
          <m:sSupPr>
            <m:ctrlPr>
              <w:rPr>
                <w:rFonts w:ascii="Cambria Math" w:eastAsia="Calibri" w:hAnsi="Cambria Math"/>
                <w:lang w:eastAsia="en-US"/>
              </w:rPr>
            </m:ctrlPr>
          </m:sSupPr>
          <m:e>
            <m:r>
              <m:rPr>
                <m:sty m:val="p"/>
              </m:rPr>
              <w:rPr>
                <w:rFonts w:ascii="Cambria Math" w:eastAsia="Calibri" w:hAnsi="Cambria Math"/>
                <w:lang w:eastAsia="en-US"/>
              </w:rPr>
              <m:t>НЗП</m:t>
            </m:r>
          </m:e>
          <m:sup>
            <m:r>
              <w:rPr>
                <w:rFonts w:ascii="Cambria Math" w:eastAsia="Calibri" w:hAnsi="Cambria Math"/>
                <w:lang w:eastAsia="en-US"/>
              </w:rPr>
              <m:t>life</m:t>
            </m:r>
          </m:sup>
        </m:sSup>
        <m:r>
          <m:rPr>
            <m:sty m:val="p"/>
          </m:rP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МР</m:t>
            </m:r>
          </m:e>
          <m:sub>
            <m:r>
              <w:rPr>
                <w:rFonts w:ascii="Cambria Math" w:hAnsi="Cambria Math"/>
                <w:lang w:eastAsia="en-US"/>
              </w:rPr>
              <m:t>ОР</m:t>
            </m:r>
          </m:sub>
        </m:sSub>
        <m:r>
          <m:rPr>
            <m:sty m:val="p"/>
          </m:rPr>
          <w:rPr>
            <w:rFonts w:ascii="Cambria Math" w:hAnsi="Cambria Math"/>
            <w:lang w:eastAsia="en-US"/>
          </w:rPr>
          <m:t>∙</m:t>
        </m:r>
        <m:sSub>
          <m:sSubPr>
            <m:ctrlPr>
              <w:rPr>
                <w:rFonts w:ascii="Cambria Math" w:hAnsi="Cambria Math"/>
                <w:lang w:eastAsia="en-US"/>
              </w:rPr>
            </m:ctrlPr>
          </m:sSubPr>
          <m:e>
            <m:r>
              <m:rPr>
                <m:sty m:val="p"/>
              </m:rPr>
              <w:rPr>
                <w:rFonts w:ascii="Cambria Math" w:hAnsi="Cambria Math"/>
                <w:lang w:eastAsia="en-US"/>
              </w:rPr>
              <m:t>k</m:t>
            </m:r>
          </m:e>
          <m:sub>
            <m:r>
              <m:rPr>
                <m:sty m:val="p"/>
              </m:rPr>
              <w:rPr>
                <w:rFonts w:ascii="Cambria Math" w:hAnsi="Cambria Math"/>
                <w:lang w:eastAsia="en-US"/>
              </w:rPr>
              <m:t>МР</m:t>
            </m:r>
          </m:sub>
        </m:sSub>
        <m:r>
          <w:rPr>
            <w:rFonts w:ascii="Cambria Math" w:hAnsi="Cambria Math"/>
            <w:lang w:eastAsia="en-US"/>
          </w:rPr>
          <m:t>∙0,04+</m:t>
        </m:r>
        <m:sSub>
          <m:sSubPr>
            <m:ctrlPr>
              <w:rPr>
                <w:rFonts w:ascii="Cambria Math" w:hAnsi="Cambria Math"/>
                <w:lang w:eastAsia="en-US"/>
              </w:rPr>
            </m:ctrlPr>
          </m:sSubPr>
          <m:e>
            <m:r>
              <m:rPr>
                <m:sty m:val="p"/>
              </m:rPr>
              <w:rPr>
                <w:rFonts w:ascii="Cambria Math" w:hAnsi="Cambria Math"/>
                <w:lang w:eastAsia="en-US"/>
              </w:rPr>
              <m:t>ВПР</m:t>
            </m:r>
          </m:e>
          <m:sub>
            <m:r>
              <w:rPr>
                <w:rFonts w:ascii="Cambria Math" w:hAnsi="Cambria Math"/>
                <w:lang w:eastAsia="en-US"/>
              </w:rPr>
              <m:t>ОР</m:t>
            </m:r>
          </m:sub>
        </m:sSub>
        <m:r>
          <m:rPr>
            <m:sty m:val="p"/>
          </m:rPr>
          <w:rPr>
            <w:rFonts w:ascii="Cambria Math" w:hAnsi="Cambria Math"/>
            <w:lang w:eastAsia="en-US"/>
          </w:rPr>
          <m:t>∙</m:t>
        </m:r>
        <m:sSub>
          <m:sSubPr>
            <m:ctrlPr>
              <w:rPr>
                <w:rFonts w:ascii="Cambria Math" w:hAnsi="Cambria Math"/>
                <w:lang w:eastAsia="en-US"/>
              </w:rPr>
            </m:ctrlPr>
          </m:sSubPr>
          <m:e>
            <m:r>
              <m:rPr>
                <m:sty m:val="p"/>
              </m:rPr>
              <w:rPr>
                <w:rFonts w:ascii="Cambria Math" w:hAnsi="Cambria Math"/>
                <w:lang w:eastAsia="en-US"/>
              </w:rPr>
              <m:t>k</m:t>
            </m:r>
          </m:e>
          <m:sub>
            <m:r>
              <m:rPr>
                <m:sty m:val="p"/>
              </m:rPr>
              <w:rPr>
                <w:rFonts w:ascii="Cambria Math" w:hAnsi="Cambria Math"/>
                <w:lang w:eastAsia="en-US"/>
              </w:rPr>
              <m:t>ВПР</m:t>
            </m:r>
          </m:sub>
        </m:sSub>
        <m:r>
          <m:rPr>
            <m:sty m:val="p"/>
          </m:rPr>
          <w:rPr>
            <w:rFonts w:ascii="Cambria Math" w:hAnsi="Cambria Math"/>
            <w:lang w:eastAsia="en-US"/>
          </w:rPr>
          <m:t>∙</m:t>
        </m:r>
        <m:sSub>
          <m:sSubPr>
            <m:ctrlPr>
              <w:rPr>
                <w:rFonts w:ascii="Cambria Math" w:hAnsi="Cambria Math"/>
                <w:lang w:eastAsia="en-US"/>
              </w:rPr>
            </m:ctrlPr>
          </m:sSubPr>
          <m:e>
            <m:r>
              <m:rPr>
                <m:sty m:val="p"/>
              </m:rPr>
              <w:rPr>
                <w:rFonts w:ascii="Cambria Math" w:hAnsi="Cambria Math"/>
                <w:lang w:eastAsia="en-US"/>
              </w:rPr>
              <m:t>k</m:t>
            </m:r>
          </m:e>
          <m:sub>
            <m:r>
              <m:rPr>
                <m:sty m:val="p"/>
              </m:rPr>
              <w:rPr>
                <w:rFonts w:ascii="Cambria Math" w:hAnsi="Cambria Math"/>
                <w:lang w:eastAsia="en-US"/>
              </w:rPr>
              <m:t>строк</m:t>
            </m:r>
          </m:sub>
        </m:sSub>
        <m:r>
          <w:rPr>
            <w:rFonts w:ascii="Cambria Math" w:hAnsi="Cambria Math"/>
            <w:lang w:eastAsia="en-US"/>
          </w:rPr>
          <m:t>+</m:t>
        </m:r>
        <m:sSub>
          <m:sSubPr>
            <m:ctrlPr>
              <w:rPr>
                <w:rFonts w:ascii="Cambria Math" w:eastAsia="Calibri" w:hAnsi="Cambria Math"/>
                <w:lang w:eastAsia="en-US"/>
              </w:rPr>
            </m:ctrlPr>
          </m:sSubPr>
          <m:e>
            <m:r>
              <m:rPr>
                <m:sty m:val="p"/>
              </m:rPr>
              <w:rPr>
                <w:rFonts w:ascii="Cambria Math" w:eastAsia="Calibri" w:hAnsi="Cambria Math"/>
                <w:lang w:eastAsia="en-US"/>
              </w:rPr>
              <m:t>НЗП</m:t>
            </m:r>
          </m:e>
          <m:sub>
            <m:r>
              <w:rPr>
                <w:rFonts w:ascii="Cambria Math" w:eastAsia="Calibri" w:hAnsi="Cambria Math"/>
                <w:lang w:eastAsia="en-US"/>
              </w:rPr>
              <m:t>ДР</m:t>
            </m:r>
          </m:sub>
        </m:sSub>
      </m:oMath>
      <w:r w:rsidR="00CD3F38" w:rsidRPr="00B35439">
        <w:rPr>
          <w:lang w:eastAsia="en-US"/>
        </w:rPr>
        <w:t>,</w:t>
      </w:r>
    </w:p>
    <w:p w14:paraId="53CE467B" w14:textId="77777777" w:rsidR="00CD3F38" w:rsidRPr="00B35439" w:rsidRDefault="00CD3F38" w:rsidP="00CD3F38">
      <w:pPr>
        <w:widowControl w:val="0"/>
        <w:ind w:firstLine="709"/>
        <w:contextualSpacing/>
        <w:rPr>
          <w:lang w:eastAsia="en-US"/>
        </w:rPr>
      </w:pPr>
    </w:p>
    <w:p w14:paraId="2B72CCDA" w14:textId="10D50DAD" w:rsidR="00CD3F38" w:rsidRPr="00B35439" w:rsidRDefault="00CD3F38" w:rsidP="00CD3F38">
      <w:pPr>
        <w:widowControl w:val="0"/>
        <w:ind w:firstLine="709"/>
        <w:contextualSpacing/>
        <w:rPr>
          <w:lang w:eastAsia="en-US"/>
        </w:rPr>
      </w:pPr>
      <w:r w:rsidRPr="00B35439">
        <w:rPr>
          <w:lang w:eastAsia="en-US"/>
        </w:rPr>
        <w:t xml:space="preserve">де </w:t>
      </w:r>
      <m:oMath>
        <m:sSub>
          <m:sSubPr>
            <m:ctrlPr>
              <w:rPr>
                <w:rFonts w:ascii="Cambria Math" w:hAnsi="Cambria Math"/>
                <w:i/>
                <w:lang w:eastAsia="en-US"/>
              </w:rPr>
            </m:ctrlPr>
          </m:sSubPr>
          <m:e>
            <m:r>
              <w:rPr>
                <w:rFonts w:ascii="Cambria Math" w:hAnsi="Cambria Math"/>
                <w:lang w:eastAsia="en-US"/>
              </w:rPr>
              <m:t>МР</m:t>
            </m:r>
          </m:e>
          <m:sub>
            <m:r>
              <w:rPr>
                <w:rFonts w:ascii="Cambria Math" w:hAnsi="Cambria Math"/>
                <w:lang w:eastAsia="en-US"/>
              </w:rPr>
              <m:t>ОР</m:t>
            </m:r>
          </m:sub>
        </m:sSub>
      </m:oMath>
      <w:r w:rsidRPr="00B35439">
        <w:rPr>
          <w:lang w:eastAsia="en-US"/>
        </w:rPr>
        <w:t xml:space="preserve"> – </w:t>
      </w:r>
      <w:r w:rsidRPr="00B35439">
        <w:t xml:space="preserve">математичний резерв за основними ризиками на дату розрахунку. Складові математичного резерву, що формуються за договором страхування, а не за основними та додатковими страховими ризиками за таким договором, включаються до </w:t>
      </w:r>
      <m:oMath>
        <m:sSub>
          <m:sSubPr>
            <m:ctrlPr>
              <w:rPr>
                <w:rFonts w:ascii="Cambria Math" w:hAnsi="Cambria Math"/>
                <w:i/>
                <w:lang w:eastAsia="en-US"/>
              </w:rPr>
            </m:ctrlPr>
          </m:sSubPr>
          <m:e>
            <m:r>
              <w:rPr>
                <w:rFonts w:ascii="Cambria Math" w:hAnsi="Cambria Math"/>
                <w:lang w:eastAsia="en-US"/>
              </w:rPr>
              <m:t>МР</m:t>
            </m:r>
          </m:e>
          <m:sub>
            <m:r>
              <w:rPr>
                <w:rFonts w:ascii="Cambria Math" w:hAnsi="Cambria Math"/>
                <w:lang w:eastAsia="en-US"/>
              </w:rPr>
              <m:t>ОР</m:t>
            </m:r>
          </m:sub>
        </m:sSub>
      </m:oMath>
      <w:r w:rsidRPr="00B35439">
        <w:t xml:space="preserve"> </w:t>
      </w:r>
      <w:r w:rsidRPr="00B35439">
        <w:rPr>
          <w:lang w:eastAsia="en-US"/>
        </w:rPr>
        <w:t>в повному обсязі;</w:t>
      </w:r>
    </w:p>
    <w:p w14:paraId="6E299DCF" w14:textId="7071114A" w:rsidR="00CD3F38" w:rsidRPr="00B35439" w:rsidRDefault="00AD09A2" w:rsidP="00CD3F38">
      <w:pPr>
        <w:widowControl w:val="0"/>
        <w:ind w:firstLine="709"/>
        <w:contextualSpacing/>
        <w:rPr>
          <w:lang w:eastAsia="en-US"/>
        </w:rPr>
      </w:pPr>
      <m:oMath>
        <m:sSub>
          <m:sSubPr>
            <m:ctrlPr>
              <w:rPr>
                <w:rFonts w:ascii="Cambria Math" w:hAnsi="Cambria Math"/>
                <w:lang w:eastAsia="en-US"/>
              </w:rPr>
            </m:ctrlPr>
          </m:sSubPr>
          <m:e>
            <m:r>
              <m:rPr>
                <m:sty m:val="p"/>
              </m:rPr>
              <w:rPr>
                <w:rFonts w:ascii="Cambria Math" w:hAnsi="Cambria Math"/>
                <w:lang w:eastAsia="en-US"/>
              </w:rPr>
              <m:t>k</m:t>
            </m:r>
          </m:e>
          <m:sub>
            <m:r>
              <m:rPr>
                <m:sty m:val="p"/>
              </m:rPr>
              <w:rPr>
                <w:rFonts w:ascii="Cambria Math" w:hAnsi="Cambria Math"/>
                <w:lang w:eastAsia="en-US"/>
              </w:rPr>
              <m:t>МР</m:t>
            </m:r>
          </m:sub>
        </m:sSub>
      </m:oMath>
      <w:r w:rsidR="00CD3F38" w:rsidRPr="00B35439">
        <w:rPr>
          <w:lang w:eastAsia="en-US"/>
        </w:rPr>
        <w:t xml:space="preserve"> – </w:t>
      </w:r>
      <w:r w:rsidR="00CD3F38" w:rsidRPr="00B35439">
        <w:t>коефіцієнт “чистого” математичного резерву за основними ризиками на дату розрахунку,</w:t>
      </w:r>
      <w:r w:rsidR="00CD3F38" w:rsidRPr="00B35439">
        <w:rPr>
          <w:lang w:eastAsia="en-US"/>
        </w:rPr>
        <w:t xml:space="preserve"> що визначається за наступною формулою та не може бути меншим за 0,85:</w:t>
      </w:r>
    </w:p>
    <w:p w14:paraId="3CB145BC" w14:textId="77777777" w:rsidR="00B35439" w:rsidRPr="00B35439" w:rsidRDefault="00B35439" w:rsidP="00CD3F38">
      <w:pPr>
        <w:widowControl w:val="0"/>
        <w:ind w:firstLine="709"/>
        <w:contextualSpacing/>
      </w:pPr>
    </w:p>
    <w:p w14:paraId="4D980D80" w14:textId="77777777" w:rsidR="00CD3F38" w:rsidRPr="00B35439" w:rsidRDefault="00AD09A2" w:rsidP="00CD3F38">
      <w:pPr>
        <w:widowControl w:val="0"/>
        <w:ind w:firstLine="709"/>
        <w:contextualSpacing/>
      </w:pPr>
      <m:oMathPara>
        <m:oMath>
          <m:sSub>
            <m:sSubPr>
              <m:ctrlPr>
                <w:rPr>
                  <w:rFonts w:ascii="Cambria Math" w:hAnsi="Cambria Math"/>
                  <w:lang w:eastAsia="en-US"/>
                </w:rPr>
              </m:ctrlPr>
            </m:sSubPr>
            <m:e>
              <m:r>
                <m:rPr>
                  <m:sty m:val="p"/>
                </m:rPr>
                <w:rPr>
                  <w:rFonts w:ascii="Cambria Math" w:hAnsi="Cambria Math"/>
                  <w:lang w:eastAsia="en-US"/>
                </w:rPr>
                <m:t>k</m:t>
              </m:r>
            </m:e>
            <m:sub>
              <m:r>
                <m:rPr>
                  <m:sty m:val="p"/>
                </m:rPr>
                <w:rPr>
                  <w:rFonts w:ascii="Cambria Math" w:hAnsi="Cambria Math"/>
                  <w:lang w:eastAsia="en-US"/>
                </w:rPr>
                <m:t>МР</m:t>
              </m:r>
            </m:sub>
          </m:sSub>
          <m:r>
            <w:rPr>
              <w:rFonts w:ascii="Cambria Math" w:hAnsi="Cambria Math"/>
              <w:lang w:eastAsia="en-US"/>
            </w:rPr>
            <m:t>=1-</m:t>
          </m:r>
          <m:f>
            <m:fPr>
              <m:ctrlPr>
                <w:rPr>
                  <w:rFonts w:ascii="Cambria Math" w:hAnsi="Cambria Math"/>
                  <w:i/>
                  <w:lang w:eastAsia="en-US"/>
                </w:rPr>
              </m:ctrlPr>
            </m:fPr>
            <m:num>
              <m:sSubSup>
                <m:sSubSupPr>
                  <m:ctrlPr>
                    <w:rPr>
                      <w:rFonts w:ascii="Cambria Math" w:hAnsi="Cambria Math"/>
                      <w:i/>
                      <w:lang w:eastAsia="en-US"/>
                    </w:rPr>
                  </m:ctrlPr>
                </m:sSubSupPr>
                <m:e>
                  <m:r>
                    <w:rPr>
                      <w:rFonts w:ascii="Cambria Math" w:hAnsi="Cambria Math"/>
                      <w:lang w:eastAsia="en-US"/>
                    </w:rPr>
                    <m:t>МР</m:t>
                  </m:r>
                </m:e>
                <m:sub>
                  <m:r>
                    <w:rPr>
                      <w:rFonts w:ascii="Cambria Math" w:hAnsi="Cambria Math"/>
                      <w:lang w:eastAsia="en-US"/>
                    </w:rPr>
                    <m:t>ОР</m:t>
                  </m:r>
                </m:sub>
                <m:sup>
                  <m:r>
                    <w:rPr>
                      <w:rFonts w:ascii="Cambria Math" w:hAnsi="Cambria Math"/>
                      <w:lang w:eastAsia="en-US"/>
                    </w:rPr>
                    <m:t>re</m:t>
                  </m:r>
                </m:sup>
              </m:sSubSup>
            </m:num>
            <m:den>
              <m:sSub>
                <m:sSubPr>
                  <m:ctrlPr>
                    <w:rPr>
                      <w:rFonts w:ascii="Cambria Math" w:hAnsi="Cambria Math"/>
                      <w:i/>
                      <w:lang w:eastAsia="en-US"/>
                    </w:rPr>
                  </m:ctrlPr>
                </m:sSubPr>
                <m:e>
                  <m:r>
                    <w:rPr>
                      <w:rFonts w:ascii="Cambria Math" w:hAnsi="Cambria Math"/>
                      <w:lang w:eastAsia="en-US"/>
                    </w:rPr>
                    <m:t>МР</m:t>
                  </m:r>
                </m:e>
                <m:sub>
                  <m:r>
                    <w:rPr>
                      <w:rFonts w:ascii="Cambria Math" w:hAnsi="Cambria Math"/>
                      <w:lang w:eastAsia="en-US"/>
                    </w:rPr>
                    <m:t>ОР</m:t>
                  </m:r>
                </m:sub>
              </m:sSub>
            </m:den>
          </m:f>
          <m:r>
            <w:rPr>
              <w:rFonts w:ascii="Cambria Math" w:hAnsi="Cambria Math"/>
              <w:lang w:eastAsia="en-US"/>
            </w:rPr>
            <m:t>,</m:t>
          </m:r>
        </m:oMath>
      </m:oMathPara>
    </w:p>
    <w:p w14:paraId="77C5BE07" w14:textId="77777777" w:rsidR="00B35439" w:rsidRPr="00B35439" w:rsidRDefault="00B35439" w:rsidP="00CD3F38">
      <w:pPr>
        <w:widowControl w:val="0"/>
        <w:ind w:firstLine="709"/>
        <w:contextualSpacing/>
        <w:rPr>
          <w:lang w:eastAsia="en-US"/>
        </w:rPr>
      </w:pPr>
    </w:p>
    <w:p w14:paraId="5D4AD8B7" w14:textId="736B55C1" w:rsidR="00CD3F38" w:rsidRPr="00B35439" w:rsidRDefault="00CD3F38" w:rsidP="00CD3F38">
      <w:pPr>
        <w:widowControl w:val="0"/>
        <w:ind w:firstLine="709"/>
        <w:contextualSpacing/>
        <w:rPr>
          <w:lang w:eastAsia="en-US"/>
        </w:rPr>
      </w:pPr>
      <w:r w:rsidRPr="00B35439">
        <w:rPr>
          <w:lang w:eastAsia="en-US"/>
        </w:rPr>
        <w:t xml:space="preserve">де </w:t>
      </w:r>
      <m:oMath>
        <m:sSubSup>
          <m:sSubSupPr>
            <m:ctrlPr>
              <w:rPr>
                <w:rFonts w:ascii="Cambria Math" w:hAnsi="Cambria Math"/>
                <w:i/>
                <w:lang w:eastAsia="en-US"/>
              </w:rPr>
            </m:ctrlPr>
          </m:sSubSupPr>
          <m:e>
            <m:r>
              <w:rPr>
                <w:rFonts w:ascii="Cambria Math" w:hAnsi="Cambria Math"/>
                <w:lang w:eastAsia="en-US"/>
              </w:rPr>
              <m:t>МР</m:t>
            </m:r>
          </m:e>
          <m:sub>
            <m:r>
              <w:rPr>
                <w:rFonts w:ascii="Cambria Math" w:hAnsi="Cambria Math"/>
                <w:lang w:eastAsia="en-US"/>
              </w:rPr>
              <m:t>ОР</m:t>
            </m:r>
          </m:sub>
          <m:sup>
            <m:r>
              <w:rPr>
                <w:rFonts w:ascii="Cambria Math" w:hAnsi="Cambria Math"/>
                <w:lang w:eastAsia="en-US"/>
              </w:rPr>
              <m:t>re</m:t>
            </m:r>
          </m:sup>
        </m:sSubSup>
      </m:oMath>
      <w:r w:rsidRPr="00B35439">
        <w:rPr>
          <w:lang w:eastAsia="en-US"/>
        </w:rPr>
        <w:t xml:space="preserve"> – </w:t>
      </w:r>
      <w:r w:rsidRPr="00B35439">
        <w:t xml:space="preserve">права вимоги до </w:t>
      </w:r>
      <w:proofErr w:type="spellStart"/>
      <w:r w:rsidRPr="00B35439">
        <w:t>перестраховиків</w:t>
      </w:r>
      <w:proofErr w:type="spellEnd"/>
      <w:r w:rsidRPr="00B35439">
        <w:t xml:space="preserve"> в математичному резерві за основними ризиками на дату розрахунку;</w:t>
      </w:r>
    </w:p>
    <w:p w14:paraId="1B68CFEE" w14:textId="2E726AA2" w:rsidR="00CD3F38" w:rsidRPr="00B35439" w:rsidRDefault="00AD09A2" w:rsidP="00CD3F38">
      <w:pPr>
        <w:widowControl w:val="0"/>
        <w:ind w:firstLine="709"/>
        <w:contextualSpacing/>
        <w:rPr>
          <w:lang w:eastAsia="en-US"/>
        </w:rPr>
      </w:pPr>
      <m:oMath>
        <m:sSub>
          <m:sSubPr>
            <m:ctrlPr>
              <w:rPr>
                <w:rFonts w:ascii="Cambria Math" w:hAnsi="Cambria Math"/>
                <w:lang w:eastAsia="en-US"/>
              </w:rPr>
            </m:ctrlPr>
          </m:sSubPr>
          <m:e>
            <m:r>
              <m:rPr>
                <m:sty m:val="p"/>
              </m:rPr>
              <w:rPr>
                <w:rFonts w:ascii="Cambria Math" w:hAnsi="Cambria Math"/>
                <w:lang w:eastAsia="en-US"/>
              </w:rPr>
              <m:t>ВПР</m:t>
            </m:r>
          </m:e>
          <m:sub>
            <m:r>
              <w:rPr>
                <w:rFonts w:ascii="Cambria Math" w:hAnsi="Cambria Math"/>
                <w:lang w:eastAsia="en-US"/>
              </w:rPr>
              <m:t>ОР</m:t>
            </m:r>
          </m:sub>
        </m:sSub>
      </m:oMath>
      <w:r w:rsidR="00CD3F38" w:rsidRPr="00B35439">
        <w:rPr>
          <w:lang w:eastAsia="en-US"/>
        </w:rPr>
        <w:t xml:space="preserve"> – </w:t>
      </w:r>
      <w:r w:rsidR="00CD3F38" w:rsidRPr="00B35439">
        <w:t xml:space="preserve">відповідальність під ризиком за основними ризиками </w:t>
      </w:r>
      <w:r w:rsidR="00CD3F38" w:rsidRPr="00B35439">
        <w:rPr>
          <w:lang w:eastAsia="en-US"/>
        </w:rPr>
        <w:t xml:space="preserve">за випадком смерті </w:t>
      </w:r>
      <w:r w:rsidR="00CD3F38" w:rsidRPr="00B35439">
        <w:t xml:space="preserve">на дату розрахунку, що </w:t>
      </w:r>
      <w:r w:rsidR="00CD3F38" w:rsidRPr="00B35439">
        <w:rPr>
          <w:lang w:eastAsia="en-US"/>
        </w:rPr>
        <w:t xml:space="preserve">визначається для кожного окремого договору страхування, дійсного на </w:t>
      </w:r>
      <w:r w:rsidR="00CD3F38" w:rsidRPr="00B35439">
        <w:t>дату розрахунку</w:t>
      </w:r>
      <w:r w:rsidR="00CD3F38" w:rsidRPr="00B35439">
        <w:rPr>
          <w:lang w:eastAsia="en-US"/>
        </w:rPr>
        <w:t>, щодо кожної застрахованої особи, а також договорів/страхових випадків, за якими страхов</w:t>
      </w:r>
      <w:r w:rsidR="00532F0F" w:rsidRPr="00B35439">
        <w:rPr>
          <w:lang w:eastAsia="en-US"/>
        </w:rPr>
        <w:t>а</w:t>
      </w:r>
      <w:r w:rsidR="00CD3F38" w:rsidRPr="00B35439">
        <w:rPr>
          <w:lang w:eastAsia="en-US"/>
        </w:rPr>
        <w:t xml:space="preserve"> відповідальність</w:t>
      </w:r>
      <w:r w:rsidR="000B692B" w:rsidRPr="00B35439">
        <w:rPr>
          <w:lang w:eastAsia="en-US"/>
        </w:rPr>
        <w:t xml:space="preserve"> не припинилася</w:t>
      </w:r>
      <w:r w:rsidR="00CD3F38" w:rsidRPr="00B35439">
        <w:rPr>
          <w:lang w:eastAsia="en-US"/>
        </w:rPr>
        <w:t xml:space="preserve">. </w:t>
      </w:r>
      <w:r w:rsidR="00CD3F38" w:rsidRPr="00B35439">
        <w:t xml:space="preserve">Відповідальність під ризиком </w:t>
      </w:r>
      <w:r w:rsidR="00CD3F38" w:rsidRPr="00B35439">
        <w:rPr>
          <w:lang w:eastAsia="en-US"/>
        </w:rPr>
        <w:t xml:space="preserve">розраховується як визначена договором страхова відповідальність за випадком смерті за вирахуванням математичного резерву, сформованого на дату розрахунку за таким ризиком. </w:t>
      </w:r>
      <w:r w:rsidR="00CD3F38" w:rsidRPr="00B35439">
        <w:t>Страхова відповідальність з</w:t>
      </w:r>
      <w:r w:rsidR="00B35439" w:rsidRPr="00B35439">
        <w:t xml:space="preserve">а випадком смерті визначається </w:t>
      </w:r>
      <w:r w:rsidR="00CD3F38" w:rsidRPr="00B35439">
        <w:t xml:space="preserve">як розмір страхової суми або </w:t>
      </w:r>
      <w:proofErr w:type="spellStart"/>
      <w:r w:rsidR="00CD3F38" w:rsidRPr="00B35439">
        <w:rPr>
          <w:lang w:eastAsia="en-US"/>
        </w:rPr>
        <w:t>актуарна</w:t>
      </w:r>
      <w:proofErr w:type="spellEnd"/>
      <w:r w:rsidR="00CD3F38" w:rsidRPr="00B35439">
        <w:rPr>
          <w:lang w:eastAsia="en-US"/>
        </w:rPr>
        <w:t xml:space="preserve"> вартість майбутніх страхових виплат</w:t>
      </w:r>
      <w:r w:rsidR="00CD3F38" w:rsidRPr="00B35439">
        <w:t xml:space="preserve"> (якщо страхова сума не встановлена), передбачених договором страхування для такого страхового випадку. </w:t>
      </w:r>
      <w:r w:rsidR="00CD3F38" w:rsidRPr="00B35439">
        <w:rPr>
          <w:shd w:val="clear" w:color="auto" w:fill="FFFFFF"/>
        </w:rPr>
        <w:t xml:space="preserve">Якщо умовами договору страхування передбачено право страхувальника в майбутньому вибрати спосіб виконання страховиком зобов'язань за договором (включаючи право отримати одноразову страхову виплату або регулярні, послідовні страхові виплати у вигляді ануїтету, змінити </w:t>
      </w:r>
      <w:r w:rsidR="00CD3F38" w:rsidRPr="00B35439">
        <w:rPr>
          <w:shd w:val="clear" w:color="auto" w:fill="FFFFFF"/>
        </w:rPr>
        <w:lastRenderedPageBreak/>
        <w:t xml:space="preserve">періодичність виплати ануїтету), то для розрахунку страхової відповідальності враховується варіант, за яким </w:t>
      </w:r>
      <w:proofErr w:type="spellStart"/>
      <w:r w:rsidR="00CD3F38" w:rsidRPr="00B35439">
        <w:rPr>
          <w:shd w:val="clear" w:color="auto" w:fill="FFFFFF"/>
        </w:rPr>
        <w:t>актуарна</w:t>
      </w:r>
      <w:proofErr w:type="spellEnd"/>
      <w:r w:rsidR="00CD3F38" w:rsidRPr="00B35439">
        <w:rPr>
          <w:shd w:val="clear" w:color="auto" w:fill="FFFFFF"/>
        </w:rPr>
        <w:t xml:space="preserve"> вартість майбутніх страхових виплат більша. </w:t>
      </w:r>
      <w:r w:rsidR="00CD3F38" w:rsidRPr="00B35439">
        <w:rPr>
          <w:lang w:eastAsia="en-US"/>
        </w:rPr>
        <w:t>До розрахунку загального обсягу відповідальності під ризиком не враховуються отримані від’ємні значення відповідальності під ризиком щодо кожної окремої застрахованої особи;</w:t>
      </w:r>
    </w:p>
    <w:p w14:paraId="1EFDA312" w14:textId="34206E1E" w:rsidR="00CD3F38" w:rsidRPr="00B35439" w:rsidRDefault="00AD09A2" w:rsidP="00CD3F38">
      <w:pPr>
        <w:widowControl w:val="0"/>
        <w:ind w:firstLine="709"/>
        <w:contextualSpacing/>
      </w:pPr>
      <m:oMath>
        <m:sSub>
          <m:sSubPr>
            <m:ctrlPr>
              <w:rPr>
                <w:rFonts w:ascii="Cambria Math" w:hAnsi="Cambria Math"/>
                <w:lang w:eastAsia="en-US"/>
              </w:rPr>
            </m:ctrlPr>
          </m:sSubPr>
          <m:e>
            <m:r>
              <m:rPr>
                <m:sty m:val="p"/>
              </m:rPr>
              <w:rPr>
                <w:rFonts w:ascii="Cambria Math" w:hAnsi="Cambria Math"/>
                <w:lang w:eastAsia="en-US"/>
              </w:rPr>
              <m:t>k</m:t>
            </m:r>
          </m:e>
          <m:sub>
            <m:r>
              <m:rPr>
                <m:sty m:val="p"/>
              </m:rPr>
              <w:rPr>
                <w:rFonts w:ascii="Cambria Math" w:hAnsi="Cambria Math"/>
                <w:lang w:eastAsia="en-US"/>
              </w:rPr>
              <m:t>ВПР</m:t>
            </m:r>
          </m:sub>
        </m:sSub>
      </m:oMath>
      <w:r w:rsidR="00CD3F38" w:rsidRPr="00B35439">
        <w:rPr>
          <w:lang w:eastAsia="en-US"/>
        </w:rPr>
        <w:t xml:space="preserve"> – </w:t>
      </w:r>
      <w:r w:rsidR="00CD3F38" w:rsidRPr="00B35439">
        <w:t xml:space="preserve">коефіцієнт “чистої” відповідальності під ризиком за основними ризиками на дату розрахунку, </w:t>
      </w:r>
      <w:r w:rsidR="00CD3F38" w:rsidRPr="00B35439">
        <w:rPr>
          <w:lang w:eastAsia="en-US"/>
        </w:rPr>
        <w:t>визначається за наступною формулою та не може бути меншим за 0,5</w:t>
      </w:r>
      <w:r w:rsidR="00CD3F38" w:rsidRPr="00B35439">
        <w:t>:</w:t>
      </w:r>
    </w:p>
    <w:p w14:paraId="5B2D3BB4" w14:textId="77777777" w:rsidR="00B35439" w:rsidRPr="00B35439" w:rsidRDefault="00B35439" w:rsidP="00CD3F38">
      <w:pPr>
        <w:widowControl w:val="0"/>
        <w:ind w:firstLine="709"/>
        <w:contextualSpacing/>
      </w:pPr>
    </w:p>
    <w:p w14:paraId="0365B991" w14:textId="77777777" w:rsidR="00CD3F38" w:rsidRPr="00B35439" w:rsidRDefault="00AD09A2" w:rsidP="00CD3F38">
      <w:pPr>
        <w:widowControl w:val="0"/>
        <w:ind w:firstLine="709"/>
        <w:contextualSpacing/>
        <w:rPr>
          <w:lang w:eastAsia="en-US"/>
        </w:rPr>
      </w:pPr>
      <m:oMathPara>
        <m:oMath>
          <m:sSub>
            <m:sSubPr>
              <m:ctrlPr>
                <w:rPr>
                  <w:rFonts w:ascii="Cambria Math" w:hAnsi="Cambria Math"/>
                  <w:lang w:eastAsia="en-US"/>
                </w:rPr>
              </m:ctrlPr>
            </m:sSubPr>
            <m:e>
              <m:r>
                <m:rPr>
                  <m:sty m:val="p"/>
                </m:rPr>
                <w:rPr>
                  <w:rFonts w:ascii="Cambria Math" w:hAnsi="Cambria Math"/>
                  <w:lang w:eastAsia="en-US"/>
                </w:rPr>
                <m:t>k</m:t>
              </m:r>
            </m:e>
            <m:sub>
              <m:r>
                <m:rPr>
                  <m:sty m:val="p"/>
                </m:rPr>
                <w:rPr>
                  <w:rFonts w:ascii="Cambria Math" w:hAnsi="Cambria Math"/>
                  <w:lang w:eastAsia="en-US"/>
                </w:rPr>
                <m:t>ВПР</m:t>
              </m:r>
            </m:sub>
          </m:sSub>
          <m:r>
            <w:rPr>
              <w:rFonts w:ascii="Cambria Math" w:hAnsi="Cambria Math"/>
              <w:lang w:eastAsia="en-US"/>
            </w:rPr>
            <m:t>=</m:t>
          </m:r>
          <m:f>
            <m:fPr>
              <m:ctrlPr>
                <w:rPr>
                  <w:rFonts w:ascii="Cambria Math" w:hAnsi="Cambria Math"/>
                  <w:i/>
                  <w:lang w:eastAsia="en-US"/>
                </w:rPr>
              </m:ctrlPr>
            </m:fPr>
            <m:num>
              <m:sSubSup>
                <m:sSubSupPr>
                  <m:ctrlPr>
                    <w:rPr>
                      <w:rFonts w:ascii="Cambria Math" w:hAnsi="Cambria Math"/>
                      <w:i/>
                      <w:lang w:eastAsia="en-US"/>
                    </w:rPr>
                  </m:ctrlPr>
                </m:sSubSupPr>
                <m:e>
                  <m:r>
                    <w:rPr>
                      <w:rFonts w:ascii="Cambria Math" w:hAnsi="Cambria Math"/>
                      <w:lang w:eastAsia="en-US"/>
                    </w:rPr>
                    <m:t>ВПР</m:t>
                  </m:r>
                </m:e>
                <m:sub>
                  <m:r>
                    <w:rPr>
                      <w:rFonts w:ascii="Cambria Math" w:hAnsi="Cambria Math"/>
                      <w:lang w:eastAsia="en-US"/>
                    </w:rPr>
                    <m:t>ОР</m:t>
                  </m:r>
                </m:sub>
                <m:sup>
                  <m:r>
                    <w:rPr>
                      <w:rFonts w:ascii="Cambria Math" w:hAnsi="Cambria Math"/>
                      <w:lang w:eastAsia="en-US"/>
                    </w:rPr>
                    <m:t>net</m:t>
                  </m:r>
                </m:sup>
              </m:sSubSup>
            </m:num>
            <m:den>
              <m:sSub>
                <m:sSubPr>
                  <m:ctrlPr>
                    <w:rPr>
                      <w:rFonts w:ascii="Cambria Math" w:hAnsi="Cambria Math"/>
                      <w:i/>
                      <w:lang w:eastAsia="en-US"/>
                    </w:rPr>
                  </m:ctrlPr>
                </m:sSubPr>
                <m:e>
                  <m:r>
                    <w:rPr>
                      <w:rFonts w:ascii="Cambria Math" w:hAnsi="Cambria Math"/>
                      <w:lang w:eastAsia="en-US"/>
                    </w:rPr>
                    <m:t>ВПР</m:t>
                  </m:r>
                </m:e>
                <m:sub>
                  <m:r>
                    <w:rPr>
                      <w:rFonts w:ascii="Cambria Math" w:hAnsi="Cambria Math"/>
                      <w:lang w:eastAsia="en-US"/>
                    </w:rPr>
                    <m:t>ОР</m:t>
                  </m:r>
                </m:sub>
              </m:sSub>
            </m:den>
          </m:f>
          <m:r>
            <w:rPr>
              <w:rFonts w:ascii="Cambria Math" w:hAnsi="Cambria Math"/>
              <w:lang w:eastAsia="en-US"/>
            </w:rPr>
            <m:t>,</m:t>
          </m:r>
        </m:oMath>
      </m:oMathPara>
    </w:p>
    <w:p w14:paraId="6D84CEC5" w14:textId="77777777" w:rsidR="00B35439" w:rsidRPr="00B35439" w:rsidRDefault="00B35439" w:rsidP="00CD3F38">
      <w:pPr>
        <w:widowControl w:val="0"/>
        <w:ind w:firstLine="709"/>
        <w:contextualSpacing/>
        <w:rPr>
          <w:lang w:eastAsia="en-US"/>
        </w:rPr>
      </w:pPr>
    </w:p>
    <w:p w14:paraId="5E50615B" w14:textId="334808C2" w:rsidR="00CD3F38" w:rsidRPr="00B35439" w:rsidRDefault="00CD3F38" w:rsidP="00CD3F38">
      <w:pPr>
        <w:widowControl w:val="0"/>
        <w:ind w:firstLine="709"/>
        <w:contextualSpacing/>
      </w:pPr>
      <w:r w:rsidRPr="00B35439">
        <w:rPr>
          <w:lang w:eastAsia="en-US"/>
        </w:rPr>
        <w:t xml:space="preserve">де </w:t>
      </w:r>
      <m:oMath>
        <m:sSubSup>
          <m:sSubSupPr>
            <m:ctrlPr>
              <w:rPr>
                <w:rFonts w:ascii="Cambria Math" w:hAnsi="Cambria Math"/>
                <w:i/>
                <w:lang w:eastAsia="en-US"/>
              </w:rPr>
            </m:ctrlPr>
          </m:sSubSupPr>
          <m:e>
            <m:r>
              <w:rPr>
                <w:rFonts w:ascii="Cambria Math" w:hAnsi="Cambria Math"/>
                <w:lang w:eastAsia="en-US"/>
              </w:rPr>
              <m:t>ВПР</m:t>
            </m:r>
          </m:e>
          <m:sub>
            <m:r>
              <w:rPr>
                <w:rFonts w:ascii="Cambria Math" w:hAnsi="Cambria Math"/>
                <w:lang w:eastAsia="en-US"/>
              </w:rPr>
              <m:t>ОР</m:t>
            </m:r>
          </m:sub>
          <m:sup>
            <m:r>
              <w:rPr>
                <w:rFonts w:ascii="Cambria Math" w:hAnsi="Cambria Math"/>
                <w:lang w:eastAsia="en-US"/>
              </w:rPr>
              <m:t>net</m:t>
            </m:r>
          </m:sup>
        </m:sSubSup>
      </m:oMath>
      <w:r w:rsidRPr="00B35439">
        <w:rPr>
          <w:lang w:eastAsia="en-US"/>
        </w:rPr>
        <w:t xml:space="preserve"> – відповідальність під ризиком за вирахуванням відповідальності, переданої перестраховику, на дату розрахунку, </w:t>
      </w:r>
      <w:r w:rsidRPr="00B35439">
        <w:t xml:space="preserve">що </w:t>
      </w:r>
      <w:r w:rsidRPr="00B35439">
        <w:rPr>
          <w:lang w:eastAsia="en-US"/>
        </w:rPr>
        <w:t xml:space="preserve">визначається для кожного окремого договору страхування, дійсного на </w:t>
      </w:r>
      <w:r w:rsidRPr="00B35439">
        <w:t>дату розрахунку</w:t>
      </w:r>
      <w:r w:rsidRPr="00B35439">
        <w:rPr>
          <w:lang w:eastAsia="en-US"/>
        </w:rPr>
        <w:t>, щодо кожної застрахованої особи, а також договорів/страхових випадків, за якими страхов</w:t>
      </w:r>
      <w:r w:rsidR="000B692B" w:rsidRPr="00B35439">
        <w:rPr>
          <w:lang w:eastAsia="en-US"/>
        </w:rPr>
        <w:t>а</w:t>
      </w:r>
      <w:r w:rsidRPr="00B35439">
        <w:rPr>
          <w:lang w:eastAsia="en-US"/>
        </w:rPr>
        <w:t xml:space="preserve"> відповідальність</w:t>
      </w:r>
      <w:r w:rsidR="000B692B" w:rsidRPr="00B35439">
        <w:rPr>
          <w:lang w:eastAsia="en-US"/>
        </w:rPr>
        <w:t xml:space="preserve"> не припинилася</w:t>
      </w:r>
      <w:r w:rsidRPr="00B35439">
        <w:rPr>
          <w:lang w:eastAsia="en-US"/>
        </w:rPr>
        <w:t xml:space="preserve">. Розраховується за випадком смерті як відповідальність під ризиком за вирахуванням суми відповідальності, переданої </w:t>
      </w:r>
      <w:proofErr w:type="spellStart"/>
      <w:r w:rsidRPr="00B35439">
        <w:rPr>
          <w:lang w:eastAsia="en-US"/>
        </w:rPr>
        <w:t>перестраховику</w:t>
      </w:r>
      <w:proofErr w:type="spellEnd"/>
      <w:r w:rsidRPr="00B35439">
        <w:rPr>
          <w:lang w:eastAsia="en-US"/>
        </w:rPr>
        <w:t xml:space="preserve"> за таким страховим випадком, та з додаванням прав вимоги </w:t>
      </w:r>
      <w:proofErr w:type="spellStart"/>
      <w:r w:rsidRPr="00B35439">
        <w:rPr>
          <w:lang w:eastAsia="en-US"/>
        </w:rPr>
        <w:t>перестраховика</w:t>
      </w:r>
      <w:proofErr w:type="spellEnd"/>
      <w:r w:rsidRPr="00B35439">
        <w:rPr>
          <w:lang w:eastAsia="en-US"/>
        </w:rPr>
        <w:t xml:space="preserve"> у математичному резерві такого страхового випадку.</w:t>
      </w:r>
      <w:r w:rsidR="008B186B" w:rsidRPr="00B35439">
        <w:rPr>
          <w:lang w:eastAsia="en-US"/>
        </w:rPr>
        <w:t xml:space="preserve"> </w:t>
      </w:r>
      <w:r w:rsidRPr="00B35439">
        <w:rPr>
          <w:lang w:eastAsia="en-US"/>
        </w:rPr>
        <w:t xml:space="preserve">До розрахунку </w:t>
      </w:r>
      <w:r w:rsidR="00BA3066" w:rsidRPr="00B35439">
        <w:rPr>
          <w:lang w:eastAsia="en-US"/>
        </w:rPr>
        <w:t xml:space="preserve">даного </w:t>
      </w:r>
      <w:r w:rsidRPr="00B35439">
        <w:rPr>
          <w:lang w:eastAsia="en-US"/>
        </w:rPr>
        <w:t xml:space="preserve">показника не враховуються страхові випадки, за якими відповідальність під ризиком за вирахуванням відповідальності, переданої </w:t>
      </w:r>
      <w:proofErr w:type="spellStart"/>
      <w:r w:rsidRPr="00B35439">
        <w:rPr>
          <w:lang w:eastAsia="en-US"/>
        </w:rPr>
        <w:t>перестраховику</w:t>
      </w:r>
      <w:proofErr w:type="spellEnd"/>
      <w:r w:rsidRPr="00B35439">
        <w:rPr>
          <w:lang w:eastAsia="en-US"/>
        </w:rPr>
        <w:t>, набула від’ємного значення щодо кожної окремої застрахованої особи;</w:t>
      </w:r>
    </w:p>
    <w:p w14:paraId="4CB3CA15" w14:textId="235A67EE" w:rsidR="00CD3F38" w:rsidRPr="00B35439" w:rsidRDefault="00AD09A2" w:rsidP="00CD3F38">
      <w:pPr>
        <w:widowControl w:val="0"/>
        <w:ind w:firstLine="709"/>
        <w:contextualSpacing/>
        <w:rPr>
          <w:lang w:eastAsia="en-US"/>
        </w:rPr>
      </w:pPr>
      <m:oMath>
        <m:sSub>
          <m:sSubPr>
            <m:ctrlPr>
              <w:rPr>
                <w:rFonts w:ascii="Cambria Math" w:hAnsi="Cambria Math"/>
                <w:lang w:eastAsia="en-US"/>
              </w:rPr>
            </m:ctrlPr>
          </m:sSubPr>
          <m:e>
            <m:r>
              <m:rPr>
                <m:sty m:val="p"/>
              </m:rPr>
              <w:rPr>
                <w:rFonts w:ascii="Cambria Math" w:hAnsi="Cambria Math"/>
                <w:lang w:eastAsia="en-US"/>
              </w:rPr>
              <m:t>k</m:t>
            </m:r>
          </m:e>
          <m:sub>
            <m:r>
              <m:rPr>
                <m:sty m:val="p"/>
              </m:rPr>
              <w:rPr>
                <w:rFonts w:ascii="Cambria Math" w:hAnsi="Cambria Math"/>
                <w:lang w:eastAsia="en-US"/>
              </w:rPr>
              <m:t>строк</m:t>
            </m:r>
          </m:sub>
        </m:sSub>
      </m:oMath>
      <w:r w:rsidR="00CD3F38" w:rsidRPr="00B35439">
        <w:rPr>
          <w:lang w:eastAsia="en-US"/>
        </w:rPr>
        <w:t xml:space="preserve"> – коефіцієнт строку страхового покриття, який застосовується в залежності від строку відповідальності за ризиком смерті:</w:t>
      </w:r>
    </w:p>
    <w:p w14:paraId="285C624B" w14:textId="77777777" w:rsidR="00CD3F38" w:rsidRPr="00B35439" w:rsidRDefault="00CD3F38" w:rsidP="00CD3F38">
      <w:pPr>
        <w:widowControl w:val="0"/>
        <w:ind w:firstLine="709"/>
        <w:contextualSpacing/>
        <w:rPr>
          <w:lang w:eastAsia="en-US"/>
        </w:rPr>
      </w:pPr>
      <w:r w:rsidRPr="00B35439">
        <w:rPr>
          <w:lang w:eastAsia="en-US"/>
        </w:rPr>
        <w:t>0,1% – для строку страхового покриття за ризиком смерті до 3 років;</w:t>
      </w:r>
    </w:p>
    <w:p w14:paraId="7B33A8D7" w14:textId="77777777" w:rsidR="00CD3F38" w:rsidRPr="00B35439" w:rsidRDefault="00CD3F38" w:rsidP="00CD3F38">
      <w:pPr>
        <w:widowControl w:val="0"/>
        <w:ind w:firstLine="709"/>
        <w:contextualSpacing/>
        <w:rPr>
          <w:lang w:eastAsia="en-US"/>
        </w:rPr>
      </w:pPr>
      <w:r w:rsidRPr="00B35439">
        <w:rPr>
          <w:lang w:eastAsia="en-US"/>
        </w:rPr>
        <w:t>0,15% – для строку страхового покриття за ризиком смерті від 3 до 5 років;</w:t>
      </w:r>
    </w:p>
    <w:p w14:paraId="07E138E5" w14:textId="5DCDAAFF" w:rsidR="00CD3F38" w:rsidRPr="00B35439" w:rsidRDefault="00CD3F38" w:rsidP="00CD3F38">
      <w:pPr>
        <w:widowControl w:val="0"/>
        <w:ind w:firstLine="709"/>
        <w:contextualSpacing/>
      </w:pPr>
      <w:r w:rsidRPr="00B35439">
        <w:rPr>
          <w:lang w:eastAsia="en-US"/>
        </w:rPr>
        <w:t>0,3% – для строку страхового покриття за ризиком смерті більше 5 років</w:t>
      </w:r>
      <w:r w:rsidR="00BB3792">
        <w:rPr>
          <w:lang w:eastAsia="en-US"/>
        </w:rPr>
        <w:t>;</w:t>
      </w:r>
    </w:p>
    <w:p w14:paraId="6650552C" w14:textId="07D492C5" w:rsidR="00CD3F38" w:rsidRPr="00B35439" w:rsidRDefault="00AD09A2" w:rsidP="00CD3F38">
      <w:pPr>
        <w:widowControl w:val="0"/>
        <w:ind w:firstLine="709"/>
        <w:contextualSpacing/>
      </w:pPr>
      <m:oMath>
        <m:sSub>
          <m:sSubPr>
            <m:ctrlPr>
              <w:rPr>
                <w:rFonts w:ascii="Cambria Math" w:eastAsia="Calibri" w:hAnsi="Cambria Math"/>
                <w:lang w:eastAsia="en-US"/>
              </w:rPr>
            </m:ctrlPr>
          </m:sSubPr>
          <m:e>
            <m:r>
              <m:rPr>
                <m:sty m:val="p"/>
              </m:rPr>
              <w:rPr>
                <w:rFonts w:ascii="Cambria Math" w:eastAsia="Calibri" w:hAnsi="Cambria Math"/>
                <w:lang w:eastAsia="en-US"/>
              </w:rPr>
              <m:t>НЗП</m:t>
            </m:r>
          </m:e>
          <m:sub>
            <m:r>
              <w:rPr>
                <w:rFonts w:ascii="Cambria Math" w:eastAsia="Calibri" w:hAnsi="Cambria Math"/>
                <w:lang w:eastAsia="en-US"/>
              </w:rPr>
              <m:t>ДР</m:t>
            </m:r>
          </m:sub>
        </m:sSub>
      </m:oMath>
      <w:r w:rsidR="00CD3F38" w:rsidRPr="00B35439">
        <w:rPr>
          <w:lang w:eastAsia="en-US"/>
        </w:rPr>
        <w:t xml:space="preserve"> – </w:t>
      </w:r>
      <w:r w:rsidR="00CD3F38" w:rsidRPr="00B35439">
        <w:t xml:space="preserve">розмір нормативного запасу платоспроможності для додаткових ризиків на дату розрахунку, визначений </w:t>
      </w:r>
      <w:r w:rsidR="00774418" w:rsidRPr="00B35439">
        <w:t>згідно з</w:t>
      </w:r>
      <w:r w:rsidR="00CD3F38" w:rsidRPr="00B35439">
        <w:t xml:space="preserve"> </w:t>
      </w:r>
      <w:r w:rsidR="00B71C11" w:rsidRPr="00B35439">
        <w:rPr>
          <w:lang w:eastAsia="en-US"/>
        </w:rPr>
        <w:t xml:space="preserve">порядком визначення нормативного запасу платоспроможності </w:t>
      </w:r>
      <w:r w:rsidR="00B71C11" w:rsidRPr="00B35439">
        <w:rPr>
          <w:rFonts w:eastAsiaTheme="majorEastAsia"/>
          <w:lang w:eastAsia="en-US"/>
        </w:rPr>
        <w:t>для страховика, який здійснює або планує здійснювати страхування інше, ніж страхування життя, встановленим у</w:t>
      </w:r>
      <w:r w:rsidR="00B71C11" w:rsidRPr="00B35439">
        <w:rPr>
          <w:rFonts w:eastAsiaTheme="minorEastAsia"/>
          <w:noProof/>
          <w:lang w:eastAsia="en-US"/>
        </w:rPr>
        <w:t xml:space="preserve"> </w:t>
      </w:r>
      <w:r w:rsidR="00CD3F38" w:rsidRPr="00B35439">
        <w:t>додатк</w:t>
      </w:r>
      <w:r w:rsidR="00B71C11" w:rsidRPr="00B35439">
        <w:t>у</w:t>
      </w:r>
      <w:r w:rsidR="00CD3F38" w:rsidRPr="00B35439">
        <w:t xml:space="preserve"> </w:t>
      </w:r>
      <w:r w:rsidR="007C4D38" w:rsidRPr="00B35439">
        <w:t xml:space="preserve">2 </w:t>
      </w:r>
      <w:r w:rsidR="00CD3F38" w:rsidRPr="00B35439">
        <w:t xml:space="preserve">до Положення </w:t>
      </w:r>
      <w:r w:rsidR="00CD3F38" w:rsidRPr="00B35439">
        <w:rPr>
          <w:bCs/>
          <w:lang w:eastAsia="en-US"/>
        </w:rPr>
        <w:t>про обов’язкові критерії і нормативи достатності капіталу та платоспроможності, ліквідності, прибутковості, якості активів та ризиковості операцій страховика.</w:t>
      </w:r>
    </w:p>
    <w:p w14:paraId="32E06ABA" w14:textId="77777777" w:rsidR="00CD3F38" w:rsidRPr="00B35439" w:rsidRDefault="00CD3F38" w:rsidP="00CD3F38">
      <w:pPr>
        <w:widowControl w:val="0"/>
        <w:ind w:firstLine="709"/>
        <w:contextualSpacing/>
      </w:pPr>
    </w:p>
    <w:p w14:paraId="5981254F" w14:textId="77777777" w:rsidR="00BE14B5" w:rsidRPr="00B35439" w:rsidRDefault="00B05C4F">
      <w:pPr>
        <w:spacing w:after="200" w:line="276" w:lineRule="auto"/>
        <w:jc w:val="left"/>
        <w:rPr>
          <w:rFonts w:eastAsiaTheme="majorEastAsia"/>
          <w:lang w:eastAsia="en-US"/>
        </w:rPr>
        <w:sectPr w:rsidR="00BE14B5" w:rsidRPr="00B35439" w:rsidSect="00DE61A2">
          <w:headerReference w:type="default" r:id="rId15"/>
          <w:footerReference w:type="first" r:id="rId16"/>
          <w:pgSz w:w="11906" w:h="16838" w:code="9"/>
          <w:pgMar w:top="567" w:right="567" w:bottom="1701" w:left="1701" w:header="709" w:footer="709" w:gutter="0"/>
          <w:pgNumType w:start="1"/>
          <w:cols w:space="708"/>
          <w:titlePg/>
          <w:docGrid w:linePitch="381"/>
        </w:sectPr>
      </w:pPr>
      <w:r w:rsidRPr="00B35439">
        <w:rPr>
          <w:rFonts w:eastAsiaTheme="majorEastAsia"/>
          <w:lang w:eastAsia="en-US"/>
        </w:rPr>
        <w:br w:type="page"/>
      </w:r>
    </w:p>
    <w:p w14:paraId="2388BB18" w14:textId="0C417907" w:rsidR="00B05C4F" w:rsidRPr="00B35439" w:rsidRDefault="00B05C4F" w:rsidP="00B05C4F">
      <w:pPr>
        <w:widowControl w:val="0"/>
        <w:shd w:val="clear" w:color="auto" w:fill="FFFFFF"/>
        <w:tabs>
          <w:tab w:val="left" w:pos="1134"/>
          <w:tab w:val="left" w:pos="1276"/>
        </w:tabs>
        <w:ind w:left="5670"/>
        <w:contextualSpacing/>
        <w:jc w:val="left"/>
        <w:outlineLvl w:val="0"/>
      </w:pPr>
      <w:r w:rsidRPr="00B35439">
        <w:lastRenderedPageBreak/>
        <w:t>Додаток 2</w:t>
      </w:r>
    </w:p>
    <w:p w14:paraId="4F7E593D" w14:textId="77777777" w:rsidR="00B05C4F" w:rsidRPr="00B35439" w:rsidRDefault="00B05C4F" w:rsidP="00B05C4F">
      <w:pPr>
        <w:widowControl w:val="0"/>
        <w:ind w:left="5670"/>
        <w:contextualSpacing/>
      </w:pPr>
      <w:r w:rsidRPr="00B35439">
        <w:t xml:space="preserve">до Положення </w:t>
      </w:r>
      <w:r w:rsidRPr="00B35439">
        <w:rPr>
          <w:bCs/>
          <w:lang w:eastAsia="en-US"/>
        </w:rPr>
        <w:t>про обов’язкові критерії і нормативи достатності капіталу та платоспроможності, ліквідності, прибутковості, якості активів та ризиковості операцій страховика</w:t>
      </w:r>
    </w:p>
    <w:p w14:paraId="3D326AFA" w14:textId="592CEA99" w:rsidR="00B05C4F" w:rsidRPr="00B35439" w:rsidRDefault="00B6012A" w:rsidP="00B05C4F">
      <w:pPr>
        <w:widowControl w:val="0"/>
        <w:tabs>
          <w:tab w:val="left" w:pos="1418"/>
        </w:tabs>
        <w:ind w:left="5670"/>
        <w:contextualSpacing/>
      </w:pPr>
      <w:r w:rsidRPr="00B35439">
        <w:t>(підпункт 2 пункту 22</w:t>
      </w:r>
      <w:r w:rsidR="00B05C4F" w:rsidRPr="00B35439">
        <w:t xml:space="preserve"> розділу ІІІ)</w:t>
      </w:r>
    </w:p>
    <w:p w14:paraId="23D5167B" w14:textId="77777777" w:rsidR="00B05C4F" w:rsidRPr="00B35439" w:rsidRDefault="00B05C4F" w:rsidP="00B05C4F">
      <w:pPr>
        <w:widowControl w:val="0"/>
        <w:ind w:firstLine="709"/>
        <w:jc w:val="center"/>
        <w:rPr>
          <w:lang w:eastAsia="en-US"/>
        </w:rPr>
      </w:pPr>
    </w:p>
    <w:p w14:paraId="3D9A3FAF" w14:textId="2C51AB1F" w:rsidR="00B05C4F" w:rsidRPr="00B35439" w:rsidRDefault="006E5313" w:rsidP="00B05C4F">
      <w:pPr>
        <w:widowControl w:val="0"/>
        <w:ind w:firstLine="709"/>
        <w:jc w:val="center"/>
      </w:pPr>
      <w:r w:rsidRPr="00B35439">
        <w:rPr>
          <w:lang w:eastAsia="en-US"/>
        </w:rPr>
        <w:t>Порядок в</w:t>
      </w:r>
      <w:r w:rsidR="00B05C4F" w:rsidRPr="00B35439">
        <w:rPr>
          <w:lang w:eastAsia="en-US"/>
        </w:rPr>
        <w:t xml:space="preserve">изначення нормативного запасу платоспроможності </w:t>
      </w:r>
      <w:r w:rsidR="00B05C4F" w:rsidRPr="00B35439">
        <w:rPr>
          <w:rFonts w:eastAsiaTheme="majorEastAsia"/>
          <w:lang w:eastAsia="en-US"/>
        </w:rPr>
        <w:t>для страховика, який здійснює або планує здійснювати страхування інше, ніж страхування життя</w:t>
      </w:r>
    </w:p>
    <w:p w14:paraId="0F07C25B" w14:textId="77777777" w:rsidR="00B05C4F" w:rsidRPr="00B35439" w:rsidRDefault="00B05C4F" w:rsidP="00B05C4F">
      <w:pPr>
        <w:pStyle w:val="af3"/>
        <w:widowControl w:val="0"/>
        <w:shd w:val="clear" w:color="auto" w:fill="FFFFFF"/>
        <w:tabs>
          <w:tab w:val="left" w:pos="1134"/>
        </w:tabs>
        <w:rPr>
          <w:lang w:eastAsia="en-US"/>
        </w:rPr>
      </w:pPr>
    </w:p>
    <w:p w14:paraId="666B3111" w14:textId="40163679" w:rsidR="00CD3F38" w:rsidRPr="00B35439" w:rsidRDefault="00B05C4F" w:rsidP="008B186B">
      <w:pPr>
        <w:keepNext/>
        <w:keepLines/>
        <w:numPr>
          <w:ilvl w:val="0"/>
          <w:numId w:val="42"/>
        </w:numPr>
        <w:tabs>
          <w:tab w:val="left" w:pos="993"/>
        </w:tabs>
        <w:spacing w:before="40"/>
        <w:ind w:left="0" w:firstLine="709"/>
        <w:outlineLvl w:val="1"/>
        <w:rPr>
          <w:rFonts w:eastAsiaTheme="majorEastAsia"/>
          <w:lang w:eastAsia="en-US"/>
        </w:rPr>
      </w:pPr>
      <w:r w:rsidRPr="00B35439">
        <w:rPr>
          <w:rFonts w:eastAsiaTheme="majorEastAsia"/>
          <w:lang w:eastAsia="en-US"/>
        </w:rPr>
        <w:t>Нормативний запас платоспроможності</w:t>
      </w:r>
      <w:r w:rsidRPr="00B35439" w:rsidDel="00B05C4F">
        <w:rPr>
          <w:rFonts w:eastAsiaTheme="majorEastAsia"/>
          <w:lang w:eastAsia="en-US"/>
        </w:rPr>
        <w:t xml:space="preserve"> </w:t>
      </w:r>
      <w:r w:rsidR="00CD3F38" w:rsidRPr="00B35439">
        <w:rPr>
          <w:rFonts w:eastAsiaTheme="majorEastAsia"/>
          <w:lang w:eastAsia="en-US"/>
        </w:rPr>
        <w:t>установлюється як більша з таких величин:</w:t>
      </w:r>
    </w:p>
    <w:p w14:paraId="39464EAA" w14:textId="77777777" w:rsidR="00CD3F38" w:rsidRPr="00B35439" w:rsidRDefault="00CD3F38" w:rsidP="00CD3F38">
      <w:pPr>
        <w:widowControl w:val="0"/>
        <w:shd w:val="clear" w:color="auto" w:fill="FFFFFF"/>
        <w:tabs>
          <w:tab w:val="left" w:pos="1134"/>
        </w:tabs>
        <w:ind w:firstLine="709"/>
        <w:contextualSpacing/>
        <w:rPr>
          <w:lang w:eastAsia="en-US"/>
        </w:rPr>
      </w:pPr>
    </w:p>
    <w:p w14:paraId="5944A267" w14:textId="4F72C792" w:rsidR="00CD3F38" w:rsidRPr="00B35439" w:rsidRDefault="00AD09A2" w:rsidP="00CD3F38">
      <w:pPr>
        <w:widowControl w:val="0"/>
        <w:numPr>
          <w:ilvl w:val="0"/>
          <w:numId w:val="14"/>
        </w:numPr>
        <w:tabs>
          <w:tab w:val="left" w:pos="1134"/>
        </w:tabs>
        <w:ind w:left="0" w:firstLine="709"/>
        <w:contextualSpacing/>
        <w:rPr>
          <w:lang w:eastAsia="en-US"/>
        </w:rPr>
      </w:pPr>
      <m:oMath>
        <m:sSup>
          <m:sSupPr>
            <m:ctrlPr>
              <w:rPr>
                <w:rFonts w:ascii="Cambria Math" w:eastAsia="Calibri" w:hAnsi="Cambria Math"/>
                <w:lang w:eastAsia="en-US"/>
              </w:rPr>
            </m:ctrlPr>
          </m:sSupPr>
          <m:e>
            <m:r>
              <m:rPr>
                <m:sty m:val="p"/>
              </m:rPr>
              <w:rPr>
                <w:rFonts w:ascii="Cambria Math" w:eastAsia="Calibri" w:hAnsi="Cambria Math"/>
                <w:lang w:eastAsia="en-US"/>
              </w:rPr>
              <m:t>НЗП</m:t>
            </m:r>
          </m:e>
          <m:sup>
            <m:r>
              <w:rPr>
                <w:rFonts w:ascii="Cambria Math" w:eastAsia="Calibri" w:hAnsi="Cambria Math"/>
                <w:lang w:eastAsia="en-US"/>
              </w:rPr>
              <m:t>СП</m:t>
            </m:r>
          </m:sup>
        </m:sSup>
      </m:oMath>
      <w:r w:rsidR="00CD3F38" w:rsidRPr="00B35439">
        <w:rPr>
          <w:lang w:eastAsia="en-US"/>
        </w:rPr>
        <w:t xml:space="preserve"> – розрахункова величина, яка визначається </w:t>
      </w:r>
      <w:r w:rsidR="00100246">
        <w:rPr>
          <w:rFonts w:eastAsiaTheme="majorEastAsia"/>
          <w:lang w:eastAsia="en-US"/>
        </w:rPr>
        <w:t>за такою формулою</w:t>
      </w:r>
      <w:r w:rsidR="00CD3F38" w:rsidRPr="00B35439">
        <w:rPr>
          <w:lang w:eastAsia="en-US"/>
        </w:rPr>
        <w:t>:</w:t>
      </w:r>
    </w:p>
    <w:p w14:paraId="391730AB" w14:textId="77777777" w:rsidR="00CD3F38" w:rsidRPr="00B35439" w:rsidRDefault="00CD3F38" w:rsidP="00CD3F38">
      <w:pPr>
        <w:widowControl w:val="0"/>
        <w:ind w:firstLine="709"/>
        <w:rPr>
          <w:rFonts w:eastAsia="Calibri"/>
          <w:lang w:eastAsia="en-US"/>
        </w:rPr>
      </w:pPr>
    </w:p>
    <w:p w14:paraId="49B2F580" w14:textId="77777777" w:rsidR="00CD3F38" w:rsidRPr="00B35439" w:rsidRDefault="00AD09A2" w:rsidP="00CD3F38">
      <w:pPr>
        <w:widowControl w:val="0"/>
        <w:ind w:firstLine="709"/>
        <w:jc w:val="center"/>
        <w:rPr>
          <w:lang w:eastAsia="en-US"/>
        </w:rPr>
      </w:pPr>
      <m:oMath>
        <m:sSup>
          <m:sSupPr>
            <m:ctrlPr>
              <w:rPr>
                <w:rFonts w:ascii="Cambria Math" w:eastAsia="Calibri" w:hAnsi="Cambria Math"/>
                <w:lang w:eastAsia="en-US"/>
              </w:rPr>
            </m:ctrlPr>
          </m:sSupPr>
          <m:e>
            <m:r>
              <m:rPr>
                <m:sty m:val="p"/>
              </m:rPr>
              <w:rPr>
                <w:rFonts w:ascii="Cambria Math" w:eastAsia="Calibri" w:hAnsi="Cambria Math"/>
                <w:lang w:eastAsia="en-US"/>
              </w:rPr>
              <m:t>НЗП</m:t>
            </m:r>
          </m:e>
          <m:sup>
            <m:r>
              <w:rPr>
                <w:rFonts w:ascii="Cambria Math" w:eastAsia="Calibri" w:hAnsi="Cambria Math"/>
                <w:lang w:eastAsia="en-US"/>
              </w:rPr>
              <m:t>СП</m:t>
            </m:r>
          </m:sup>
        </m:sSup>
        <m:r>
          <m:rPr>
            <m:sty m:val="p"/>
          </m:rPr>
          <w:rPr>
            <w:rFonts w:ascii="Cambria Math" w:hAnsi="Cambria Math"/>
            <w:lang w:eastAsia="en-US"/>
          </w:rPr>
          <m:t>=</m:t>
        </m:r>
        <m:d>
          <m:dPr>
            <m:ctrlPr>
              <w:rPr>
                <w:rFonts w:ascii="Cambria Math" w:hAnsi="Cambria Math"/>
                <w:lang w:eastAsia="en-US"/>
              </w:rPr>
            </m:ctrlPr>
          </m:dPr>
          <m:e>
            <m:sSubSup>
              <m:sSubSupPr>
                <m:ctrlPr>
                  <w:rPr>
                    <w:rFonts w:ascii="Cambria Math" w:hAnsi="Cambria Math"/>
                    <w:lang w:eastAsia="en-US"/>
                  </w:rPr>
                </m:ctrlPr>
              </m:sSubSupPr>
              <m:e>
                <m:r>
                  <m:rPr>
                    <m:sty m:val="p"/>
                  </m:rPr>
                  <w:rPr>
                    <w:rFonts w:ascii="Cambria Math" w:hAnsi="Cambria Math"/>
                    <w:lang w:eastAsia="en-US"/>
                  </w:rPr>
                  <m:t>СП</m:t>
                </m:r>
              </m:e>
              <m:sub>
                <m:r>
                  <m:rPr>
                    <m:sty m:val="p"/>
                  </m:rPr>
                  <w:rPr>
                    <w:rFonts w:ascii="Cambria Math" w:hAnsi="Cambria Math"/>
                    <w:lang w:eastAsia="en-US"/>
                  </w:rPr>
                  <m:t>розрах</m:t>
                </m:r>
              </m:sub>
              <m:sup>
                <m:r>
                  <m:rPr>
                    <m:sty m:val="p"/>
                  </m:rPr>
                  <w:rPr>
                    <w:rFonts w:ascii="Cambria Math" w:hAnsi="Cambria Math"/>
                    <w:lang w:eastAsia="en-US"/>
                  </w:rPr>
                  <m:t>ч1</m:t>
                </m:r>
              </m:sup>
            </m:sSubSup>
            <m:r>
              <m:rPr>
                <m:sty m:val="p"/>
              </m:rPr>
              <w:rPr>
                <w:rFonts w:ascii="Cambria Math" w:hAnsi="Cambria Math"/>
                <w:lang w:eastAsia="en-US"/>
              </w:rPr>
              <m:t>∙0,18+</m:t>
            </m:r>
            <m:sSubSup>
              <m:sSubSupPr>
                <m:ctrlPr>
                  <w:rPr>
                    <w:rFonts w:ascii="Cambria Math" w:hAnsi="Cambria Math"/>
                    <w:lang w:eastAsia="en-US"/>
                  </w:rPr>
                </m:ctrlPr>
              </m:sSubSupPr>
              <m:e>
                <m:r>
                  <m:rPr>
                    <m:sty m:val="p"/>
                  </m:rPr>
                  <w:rPr>
                    <w:rFonts w:ascii="Cambria Math" w:hAnsi="Cambria Math"/>
                    <w:lang w:eastAsia="en-US"/>
                  </w:rPr>
                  <m:t>СП</m:t>
                </m:r>
              </m:e>
              <m:sub>
                <m:r>
                  <m:rPr>
                    <m:sty m:val="p"/>
                  </m:rPr>
                  <w:rPr>
                    <w:rFonts w:ascii="Cambria Math" w:hAnsi="Cambria Math"/>
                    <w:lang w:eastAsia="en-US"/>
                  </w:rPr>
                  <m:t>розрах</m:t>
                </m:r>
              </m:sub>
              <m:sup>
                <m:r>
                  <m:rPr>
                    <m:sty m:val="p"/>
                  </m:rPr>
                  <w:rPr>
                    <w:rFonts w:ascii="Cambria Math" w:hAnsi="Cambria Math"/>
                    <w:lang w:eastAsia="en-US"/>
                  </w:rPr>
                  <m:t>ч2</m:t>
                </m:r>
              </m:sup>
            </m:sSubSup>
            <m:r>
              <m:rPr>
                <m:sty m:val="p"/>
              </m:rPr>
              <w:rPr>
                <w:rFonts w:ascii="Cambria Math" w:hAnsi="Cambria Math"/>
                <w:lang w:eastAsia="en-US"/>
              </w:rPr>
              <m:t>∙0,16</m:t>
            </m:r>
          </m:e>
        </m:d>
        <m:r>
          <m:rPr>
            <m:sty m:val="p"/>
          </m:rPr>
          <w:rPr>
            <w:rFonts w:ascii="Cambria Math" w:hAnsi="Cambria Math"/>
            <w:lang w:eastAsia="en-US"/>
          </w:rPr>
          <m:t>∙</m:t>
        </m:r>
        <m:sSub>
          <m:sSubPr>
            <m:ctrlPr>
              <w:rPr>
                <w:rFonts w:ascii="Cambria Math" w:hAnsi="Cambria Math"/>
                <w:lang w:eastAsia="en-US"/>
              </w:rPr>
            </m:ctrlPr>
          </m:sSubPr>
          <m:e>
            <m:r>
              <m:rPr>
                <m:sty m:val="p"/>
              </m:rPr>
              <w:rPr>
                <w:rFonts w:ascii="Cambria Math" w:hAnsi="Cambria Math"/>
                <w:lang w:eastAsia="en-US"/>
              </w:rPr>
              <m:t>k</m:t>
            </m:r>
          </m:e>
          <m:sub>
            <m:r>
              <m:rPr>
                <m:sty m:val="p"/>
              </m:rPr>
              <w:rPr>
                <w:rFonts w:ascii="Cambria Math" w:hAnsi="Cambria Math"/>
                <w:lang w:eastAsia="en-US"/>
              </w:rPr>
              <m:t>re</m:t>
            </m:r>
          </m:sub>
        </m:sSub>
      </m:oMath>
      <w:r w:rsidR="00CD3F38" w:rsidRPr="00B35439">
        <w:rPr>
          <w:lang w:eastAsia="en-US"/>
        </w:rPr>
        <w:t>,</w:t>
      </w:r>
    </w:p>
    <w:p w14:paraId="7181001F" w14:textId="77777777" w:rsidR="00CD3F38" w:rsidRPr="00B35439" w:rsidRDefault="00CD3F38" w:rsidP="00CD3F38">
      <w:pPr>
        <w:widowControl w:val="0"/>
        <w:ind w:firstLine="709"/>
        <w:rPr>
          <w:lang w:eastAsia="en-US"/>
        </w:rPr>
      </w:pPr>
    </w:p>
    <w:p w14:paraId="7CEE902E" w14:textId="77777777" w:rsidR="00CD3F38" w:rsidRPr="00B35439" w:rsidRDefault="00CD3F38" w:rsidP="00CD3F38">
      <w:pPr>
        <w:widowControl w:val="0"/>
        <w:ind w:firstLine="709"/>
        <w:rPr>
          <w:lang w:eastAsia="en-US"/>
        </w:rPr>
      </w:pPr>
      <w:r w:rsidRPr="00B35439">
        <w:rPr>
          <w:lang w:eastAsia="en-US"/>
        </w:rPr>
        <w:t xml:space="preserve">де </w:t>
      </w:r>
      <m:oMath>
        <m:sSubSup>
          <m:sSubSupPr>
            <m:ctrlPr>
              <w:rPr>
                <w:rFonts w:ascii="Cambria Math" w:hAnsi="Cambria Math"/>
                <w:lang w:eastAsia="en-US"/>
              </w:rPr>
            </m:ctrlPr>
          </m:sSubSupPr>
          <m:e>
            <m:r>
              <m:rPr>
                <m:sty m:val="p"/>
              </m:rPr>
              <w:rPr>
                <w:rFonts w:ascii="Cambria Math" w:hAnsi="Cambria Math"/>
                <w:lang w:eastAsia="en-US"/>
              </w:rPr>
              <m:t>СП</m:t>
            </m:r>
          </m:e>
          <m:sub>
            <m:r>
              <m:rPr>
                <m:sty m:val="p"/>
              </m:rPr>
              <w:rPr>
                <w:rFonts w:ascii="Cambria Math" w:hAnsi="Cambria Math"/>
                <w:lang w:eastAsia="en-US"/>
              </w:rPr>
              <m:t>розрах</m:t>
            </m:r>
          </m:sub>
          <m:sup>
            <m:r>
              <m:rPr>
                <m:sty m:val="p"/>
              </m:rPr>
              <w:rPr>
                <w:rFonts w:ascii="Cambria Math" w:hAnsi="Cambria Math"/>
                <w:lang w:eastAsia="en-US"/>
              </w:rPr>
              <m:t>ч1</m:t>
            </m:r>
          </m:sup>
        </m:sSubSup>
      </m:oMath>
      <w:r w:rsidRPr="00B35439">
        <w:rPr>
          <w:rFonts w:eastAsia="Calibri"/>
          <w:lang w:eastAsia="en-US"/>
        </w:rPr>
        <w:t xml:space="preserve"> – </w:t>
      </w:r>
      <w:r w:rsidRPr="00B35439">
        <w:rPr>
          <w:lang w:eastAsia="en-US"/>
        </w:rPr>
        <w:t xml:space="preserve">частина </w:t>
      </w:r>
      <m:oMath>
        <m:sSub>
          <m:sSubPr>
            <m:ctrlPr>
              <w:rPr>
                <w:rFonts w:ascii="Cambria Math" w:eastAsia="Calibri" w:hAnsi="Cambria Math"/>
                <w:lang w:eastAsia="en-US"/>
              </w:rPr>
            </m:ctrlPr>
          </m:sSubPr>
          <m:e>
            <m:r>
              <m:rPr>
                <m:sty m:val="p"/>
              </m:rPr>
              <w:rPr>
                <w:rFonts w:ascii="Cambria Math" w:eastAsia="Calibri" w:hAnsi="Cambria Math"/>
                <w:lang w:eastAsia="en-US"/>
              </w:rPr>
              <m:t>СП</m:t>
            </m:r>
          </m:e>
          <m:sub>
            <m:r>
              <m:rPr>
                <m:sty m:val="p"/>
              </m:rPr>
              <w:rPr>
                <w:rFonts w:ascii="Cambria Math" w:eastAsia="Calibri" w:hAnsi="Cambria Math"/>
                <w:lang w:eastAsia="en-US"/>
              </w:rPr>
              <m:t>розрах</m:t>
            </m:r>
          </m:sub>
        </m:sSub>
      </m:oMath>
      <w:r w:rsidRPr="00B35439">
        <w:rPr>
          <w:lang w:eastAsia="en-US"/>
        </w:rPr>
        <w:t>, що не перевищує 700 млн грн;</w:t>
      </w:r>
    </w:p>
    <w:p w14:paraId="671E3CB4" w14:textId="77777777" w:rsidR="00CD3F38" w:rsidRPr="00B35439" w:rsidRDefault="00AD09A2" w:rsidP="00CD3F38">
      <w:pPr>
        <w:widowControl w:val="0"/>
        <w:ind w:firstLine="709"/>
        <w:rPr>
          <w:lang w:eastAsia="en-US"/>
        </w:rPr>
      </w:pPr>
      <m:oMath>
        <m:sSubSup>
          <m:sSubSupPr>
            <m:ctrlPr>
              <w:rPr>
                <w:rFonts w:ascii="Cambria Math" w:hAnsi="Cambria Math"/>
                <w:lang w:eastAsia="en-US"/>
              </w:rPr>
            </m:ctrlPr>
          </m:sSubSupPr>
          <m:e>
            <m:r>
              <m:rPr>
                <m:sty m:val="p"/>
              </m:rPr>
              <w:rPr>
                <w:rFonts w:ascii="Cambria Math" w:hAnsi="Cambria Math"/>
                <w:lang w:eastAsia="en-US"/>
              </w:rPr>
              <m:t>СП</m:t>
            </m:r>
          </m:e>
          <m:sub>
            <m:r>
              <m:rPr>
                <m:sty m:val="p"/>
              </m:rPr>
              <w:rPr>
                <w:rFonts w:ascii="Cambria Math" w:hAnsi="Cambria Math"/>
                <w:lang w:eastAsia="en-US"/>
              </w:rPr>
              <m:t>розрах</m:t>
            </m:r>
          </m:sub>
          <m:sup>
            <m:r>
              <m:rPr>
                <m:sty m:val="p"/>
              </m:rPr>
              <w:rPr>
                <w:rFonts w:ascii="Cambria Math" w:hAnsi="Cambria Math"/>
                <w:lang w:eastAsia="en-US"/>
              </w:rPr>
              <m:t>ч2</m:t>
            </m:r>
          </m:sup>
        </m:sSubSup>
      </m:oMath>
      <w:r w:rsidR="00CD3F38" w:rsidRPr="00B35439">
        <w:rPr>
          <w:rFonts w:eastAsia="Calibri"/>
          <w:lang w:eastAsia="en-US"/>
        </w:rPr>
        <w:t xml:space="preserve"> – </w:t>
      </w:r>
      <w:r w:rsidR="00CD3F38" w:rsidRPr="00B35439">
        <w:rPr>
          <w:lang w:eastAsia="en-US"/>
        </w:rPr>
        <w:t xml:space="preserve">частина </w:t>
      </w:r>
      <m:oMath>
        <m:sSub>
          <m:sSubPr>
            <m:ctrlPr>
              <w:rPr>
                <w:rFonts w:ascii="Cambria Math" w:eastAsia="Calibri" w:hAnsi="Cambria Math"/>
                <w:lang w:eastAsia="en-US"/>
              </w:rPr>
            </m:ctrlPr>
          </m:sSubPr>
          <m:e>
            <m:r>
              <m:rPr>
                <m:sty m:val="p"/>
              </m:rPr>
              <w:rPr>
                <w:rFonts w:ascii="Cambria Math" w:eastAsia="Calibri" w:hAnsi="Cambria Math"/>
                <w:lang w:eastAsia="en-US"/>
              </w:rPr>
              <m:t>СП</m:t>
            </m:r>
          </m:e>
          <m:sub>
            <m:r>
              <m:rPr>
                <m:sty m:val="p"/>
              </m:rPr>
              <w:rPr>
                <w:rFonts w:ascii="Cambria Math" w:eastAsia="Calibri" w:hAnsi="Cambria Math"/>
                <w:lang w:eastAsia="en-US"/>
              </w:rPr>
              <m:t>розрах</m:t>
            </m:r>
          </m:sub>
        </m:sSub>
      </m:oMath>
      <w:r w:rsidR="00CD3F38" w:rsidRPr="00B35439">
        <w:rPr>
          <w:lang w:eastAsia="en-US"/>
        </w:rPr>
        <w:t xml:space="preserve">, що перевищує 700 млн грн. Якщо </w:t>
      </w:r>
      <m:oMath>
        <m:sSub>
          <m:sSubPr>
            <m:ctrlPr>
              <w:rPr>
                <w:rFonts w:ascii="Cambria Math" w:eastAsia="Calibri" w:hAnsi="Cambria Math"/>
                <w:lang w:eastAsia="en-US"/>
              </w:rPr>
            </m:ctrlPr>
          </m:sSubPr>
          <m:e>
            <m:r>
              <m:rPr>
                <m:sty m:val="p"/>
              </m:rPr>
              <w:rPr>
                <w:rFonts w:ascii="Cambria Math" w:eastAsia="Calibri" w:hAnsi="Cambria Math"/>
                <w:lang w:eastAsia="en-US"/>
              </w:rPr>
              <m:t>СП</m:t>
            </m:r>
          </m:e>
          <m:sub>
            <m:r>
              <m:rPr>
                <m:sty m:val="p"/>
              </m:rPr>
              <w:rPr>
                <w:rFonts w:ascii="Cambria Math" w:eastAsia="Calibri" w:hAnsi="Cambria Math"/>
                <w:lang w:eastAsia="en-US"/>
              </w:rPr>
              <m:t>розрах</m:t>
            </m:r>
          </m:sub>
        </m:sSub>
      </m:oMath>
      <w:r w:rsidR="00CD3F38" w:rsidRPr="00B35439">
        <w:rPr>
          <w:lang w:eastAsia="en-US"/>
        </w:rPr>
        <w:t xml:space="preserve"> не перевищує 700 млн грн, </w:t>
      </w:r>
      <m:oMath>
        <m:sSubSup>
          <m:sSubSupPr>
            <m:ctrlPr>
              <w:rPr>
                <w:rFonts w:ascii="Cambria Math" w:hAnsi="Cambria Math"/>
                <w:lang w:eastAsia="en-US"/>
              </w:rPr>
            </m:ctrlPr>
          </m:sSubSupPr>
          <m:e>
            <m:r>
              <m:rPr>
                <m:sty m:val="p"/>
              </m:rPr>
              <w:rPr>
                <w:rFonts w:ascii="Cambria Math" w:hAnsi="Cambria Math"/>
                <w:lang w:eastAsia="en-US"/>
              </w:rPr>
              <m:t>СП</m:t>
            </m:r>
          </m:e>
          <m:sub>
            <m:r>
              <m:rPr>
                <m:sty m:val="p"/>
              </m:rPr>
              <w:rPr>
                <w:rFonts w:ascii="Cambria Math" w:hAnsi="Cambria Math"/>
                <w:lang w:eastAsia="en-US"/>
              </w:rPr>
              <m:t>розрах</m:t>
            </m:r>
          </m:sub>
          <m:sup>
            <m:r>
              <m:rPr>
                <m:sty m:val="p"/>
              </m:rPr>
              <w:rPr>
                <w:rFonts w:ascii="Cambria Math" w:hAnsi="Cambria Math"/>
                <w:lang w:eastAsia="en-US"/>
              </w:rPr>
              <m:t>ч2</m:t>
            </m:r>
          </m:sup>
        </m:sSubSup>
      </m:oMath>
      <w:r w:rsidR="00CD3F38" w:rsidRPr="00B35439">
        <w:rPr>
          <w:lang w:eastAsia="en-US"/>
        </w:rPr>
        <w:t xml:space="preserve"> дорівнює нулю; </w:t>
      </w:r>
    </w:p>
    <w:p w14:paraId="0E0BB94F" w14:textId="370A8F51" w:rsidR="00CD3F38" w:rsidRPr="00B35439" w:rsidRDefault="00AD09A2" w:rsidP="00CD3F38">
      <w:pPr>
        <w:widowControl w:val="0"/>
        <w:ind w:firstLine="709"/>
        <w:rPr>
          <w:lang w:eastAsia="en-US"/>
        </w:rPr>
      </w:pPr>
      <m:oMath>
        <m:sSub>
          <m:sSubPr>
            <m:ctrlPr>
              <w:rPr>
                <w:rFonts w:ascii="Cambria Math" w:eastAsia="Calibri" w:hAnsi="Cambria Math"/>
                <w:lang w:eastAsia="en-US"/>
              </w:rPr>
            </m:ctrlPr>
          </m:sSubPr>
          <m:e>
            <m:r>
              <m:rPr>
                <m:sty m:val="p"/>
              </m:rPr>
              <w:rPr>
                <w:rFonts w:ascii="Cambria Math" w:eastAsia="Calibri" w:hAnsi="Cambria Math"/>
                <w:lang w:eastAsia="en-US"/>
              </w:rPr>
              <m:t>СП</m:t>
            </m:r>
          </m:e>
          <m:sub>
            <m:r>
              <m:rPr>
                <m:sty m:val="p"/>
              </m:rPr>
              <w:rPr>
                <w:rFonts w:ascii="Cambria Math" w:eastAsia="Calibri" w:hAnsi="Cambria Math"/>
                <w:lang w:eastAsia="en-US"/>
              </w:rPr>
              <m:t>розрах</m:t>
            </m:r>
          </m:sub>
        </m:sSub>
      </m:oMath>
      <w:r w:rsidR="00CD3F38" w:rsidRPr="00B35439">
        <w:rPr>
          <w:rFonts w:eastAsia="Calibri"/>
          <w:lang w:eastAsia="en-US"/>
        </w:rPr>
        <w:t xml:space="preserve"> – </w:t>
      </w:r>
      <w:r w:rsidR="00CD3F38" w:rsidRPr="00B35439">
        <w:rPr>
          <w:lang w:eastAsia="en-US"/>
        </w:rPr>
        <w:t xml:space="preserve">розрахункова величина, яка визначається </w:t>
      </w:r>
      <w:r w:rsidR="00100246">
        <w:rPr>
          <w:rFonts w:eastAsiaTheme="majorEastAsia"/>
          <w:lang w:eastAsia="en-US"/>
        </w:rPr>
        <w:t>за такою формулою</w:t>
      </w:r>
      <w:r w:rsidR="00CD3F38" w:rsidRPr="00B35439">
        <w:rPr>
          <w:lang w:eastAsia="en-US"/>
        </w:rPr>
        <w:t>:</w:t>
      </w:r>
    </w:p>
    <w:p w14:paraId="72D0BF19" w14:textId="77777777" w:rsidR="00CD3F38" w:rsidRPr="00B35439" w:rsidRDefault="00CD3F38" w:rsidP="00CD3F38">
      <w:pPr>
        <w:widowControl w:val="0"/>
        <w:ind w:firstLine="709"/>
        <w:rPr>
          <w:lang w:eastAsia="en-US"/>
        </w:rPr>
      </w:pPr>
    </w:p>
    <w:p w14:paraId="4D401326" w14:textId="77777777" w:rsidR="00CD3F38" w:rsidRPr="00B35439" w:rsidRDefault="00AD09A2" w:rsidP="00CD3F38">
      <w:pPr>
        <w:widowControl w:val="0"/>
        <w:ind w:firstLine="709"/>
        <w:jc w:val="center"/>
        <w:rPr>
          <w:lang w:eastAsia="en-US"/>
        </w:rPr>
      </w:pPr>
      <m:oMath>
        <m:sSub>
          <m:sSubPr>
            <m:ctrlPr>
              <w:rPr>
                <w:rFonts w:ascii="Cambria Math" w:eastAsia="Calibri" w:hAnsi="Cambria Math"/>
                <w:lang w:eastAsia="en-US"/>
              </w:rPr>
            </m:ctrlPr>
          </m:sSubPr>
          <m:e>
            <m:r>
              <m:rPr>
                <m:sty m:val="p"/>
              </m:rPr>
              <w:rPr>
                <w:rFonts w:ascii="Cambria Math" w:eastAsia="Calibri" w:hAnsi="Cambria Math"/>
                <w:lang w:eastAsia="en-US"/>
              </w:rPr>
              <m:t>СП</m:t>
            </m:r>
          </m:e>
          <m:sub>
            <m:r>
              <m:rPr>
                <m:sty m:val="p"/>
              </m:rPr>
              <w:rPr>
                <w:rFonts w:ascii="Cambria Math" w:eastAsia="Calibri" w:hAnsi="Cambria Math"/>
                <w:lang w:eastAsia="en-US"/>
              </w:rPr>
              <m:t>розрах</m:t>
            </m:r>
          </m:sub>
        </m:sSub>
        <m:r>
          <m:rPr>
            <m:sty m:val="p"/>
          </m:rPr>
          <w:rPr>
            <w:rFonts w:ascii="Cambria Math" w:hAnsi="Cambria Math"/>
            <w:lang w:eastAsia="en-US"/>
          </w:rPr>
          <m:t>=</m:t>
        </m:r>
        <m:sSup>
          <m:sSupPr>
            <m:ctrlPr>
              <w:rPr>
                <w:rFonts w:ascii="Cambria Math" w:hAnsi="Cambria Math"/>
                <w:lang w:eastAsia="en-US"/>
              </w:rPr>
            </m:ctrlPr>
          </m:sSupPr>
          <m:e>
            <m:r>
              <m:rPr>
                <m:sty m:val="p"/>
              </m:rPr>
              <w:rPr>
                <w:rFonts w:ascii="Cambria Math" w:hAnsi="Cambria Math"/>
                <w:lang w:eastAsia="en-US"/>
              </w:rPr>
              <m:t>СП</m:t>
            </m:r>
          </m:e>
          <m:sup>
            <m:r>
              <m:rPr>
                <m:sty m:val="p"/>
              </m:rPr>
              <w:rPr>
                <w:rFonts w:ascii="Cambria Math" w:hAnsi="Cambria Math"/>
                <w:lang w:eastAsia="en-US"/>
              </w:rPr>
              <m:t>в</m:t>
            </m:r>
          </m:sup>
        </m:sSup>
        <m:r>
          <m:rPr>
            <m:sty m:val="p"/>
          </m:rPr>
          <w:rPr>
            <w:rFonts w:ascii="Cambria Math" w:hAnsi="Cambria Math"/>
            <w:lang w:eastAsia="en-US"/>
          </w:rPr>
          <m:t>∙1,5+</m:t>
        </m:r>
        <m:sSup>
          <m:sSupPr>
            <m:ctrlPr>
              <w:rPr>
                <w:rFonts w:ascii="Cambria Math" w:hAnsi="Cambria Math"/>
                <w:lang w:eastAsia="en-US"/>
              </w:rPr>
            </m:ctrlPr>
          </m:sSupPr>
          <m:e>
            <m:r>
              <m:rPr>
                <m:sty m:val="p"/>
              </m:rPr>
              <w:rPr>
                <w:rFonts w:ascii="Cambria Math" w:hAnsi="Cambria Math"/>
                <w:lang w:eastAsia="en-US"/>
              </w:rPr>
              <m:t>СП</m:t>
            </m:r>
          </m:e>
          <m:sup>
            <m:r>
              <m:rPr>
                <m:sty m:val="p"/>
              </m:rPr>
              <w:rPr>
                <w:rFonts w:ascii="Cambria Math" w:hAnsi="Cambria Math"/>
                <w:lang w:eastAsia="en-US"/>
              </w:rPr>
              <m:t>ін</m:t>
            </m:r>
          </m:sup>
        </m:sSup>
        <m:r>
          <m:rPr>
            <m:sty m:val="p"/>
          </m:rPr>
          <w:rPr>
            <w:rFonts w:ascii="Cambria Math" w:hAnsi="Cambria Math"/>
            <w:lang w:eastAsia="en-US"/>
          </w:rPr>
          <m:t>-Податки</m:t>
        </m:r>
      </m:oMath>
      <w:r w:rsidR="00CD3F38" w:rsidRPr="00B35439">
        <w:rPr>
          <w:lang w:eastAsia="en-US"/>
        </w:rPr>
        <w:t>,</w:t>
      </w:r>
    </w:p>
    <w:p w14:paraId="2E2B7664" w14:textId="77777777" w:rsidR="00CD3F38" w:rsidRPr="00B35439" w:rsidRDefault="00CD3F38" w:rsidP="00CD3F38">
      <w:pPr>
        <w:widowControl w:val="0"/>
        <w:ind w:firstLine="709"/>
        <w:rPr>
          <w:rFonts w:eastAsia="Calibri"/>
          <w:lang w:eastAsia="en-US"/>
        </w:rPr>
      </w:pPr>
    </w:p>
    <w:p w14:paraId="216AD5A9" w14:textId="11D2A321" w:rsidR="00D439F3" w:rsidRPr="00B35439" w:rsidRDefault="00CD3F38" w:rsidP="00CD3F38">
      <w:pPr>
        <w:widowControl w:val="0"/>
        <w:ind w:firstLine="709"/>
        <w:rPr>
          <w:rFonts w:eastAsia="Calibri"/>
          <w:lang w:eastAsia="en-US"/>
        </w:rPr>
      </w:pPr>
      <w:r w:rsidRPr="00B35439">
        <w:rPr>
          <w:rFonts w:eastAsia="Calibri"/>
          <w:lang w:eastAsia="en-US"/>
        </w:rPr>
        <w:t xml:space="preserve">де </w:t>
      </w:r>
      <m:oMath>
        <m:sSup>
          <m:sSupPr>
            <m:ctrlPr>
              <w:rPr>
                <w:rFonts w:ascii="Cambria Math" w:hAnsi="Cambria Math"/>
                <w:lang w:eastAsia="en-US"/>
              </w:rPr>
            </m:ctrlPr>
          </m:sSupPr>
          <m:e>
            <m:r>
              <m:rPr>
                <m:sty m:val="p"/>
              </m:rPr>
              <w:rPr>
                <w:rFonts w:ascii="Cambria Math" w:hAnsi="Cambria Math"/>
                <w:lang w:eastAsia="en-US"/>
              </w:rPr>
              <m:t>СП</m:t>
            </m:r>
          </m:e>
          <m:sup>
            <m:r>
              <m:rPr>
                <m:sty m:val="p"/>
              </m:rPr>
              <w:rPr>
                <w:rFonts w:ascii="Cambria Math" w:hAnsi="Cambria Math"/>
                <w:lang w:eastAsia="en-US"/>
              </w:rPr>
              <m:t>в</m:t>
            </m:r>
          </m:sup>
        </m:sSup>
      </m:oMath>
      <w:r w:rsidRPr="00B35439">
        <w:rPr>
          <w:rFonts w:eastAsia="Calibri"/>
          <w:lang w:eastAsia="en-US"/>
        </w:rPr>
        <w:t xml:space="preserve"> – </w:t>
      </w:r>
      <w:r w:rsidRPr="00B35439">
        <w:rPr>
          <w:lang w:eastAsia="en-US"/>
        </w:rPr>
        <w:t>надходження сум страхових премій у розрахунковому періоді 1 за видами страхування відповідальності</w:t>
      </w:r>
      <w:r w:rsidRPr="00B35439">
        <w:rPr>
          <w:vertAlign w:val="superscript"/>
          <w:lang w:eastAsia="en-US"/>
        </w:rPr>
        <w:t xml:space="preserve"> </w:t>
      </w:r>
      <w:r w:rsidRPr="00B35439">
        <w:rPr>
          <w:lang w:eastAsia="en-US"/>
        </w:rPr>
        <w:t>за договорами страхування та вхідного перестрахування</w:t>
      </w:r>
      <w:r w:rsidR="000C5121" w:rsidRPr="00B35439">
        <w:rPr>
          <w:lang w:eastAsia="en-US"/>
        </w:rPr>
        <w:t>. Р</w:t>
      </w:r>
      <w:r w:rsidR="00D439F3" w:rsidRPr="00B35439">
        <w:rPr>
          <w:rFonts w:eastAsia="Calibri"/>
          <w:lang w:eastAsia="en-US"/>
        </w:rPr>
        <w:t>озрахунковий</w:t>
      </w:r>
      <w:r w:rsidR="00D439F3" w:rsidRPr="00B35439">
        <w:rPr>
          <w:lang w:eastAsia="en-US"/>
        </w:rPr>
        <w:t xml:space="preserve"> період 1 – </w:t>
      </w:r>
      <w:r w:rsidR="00D439F3" w:rsidRPr="00B35439">
        <w:rPr>
          <w:rFonts w:eastAsia="Calibri"/>
          <w:shd w:val="clear" w:color="auto" w:fill="FFFFFF"/>
        </w:rPr>
        <w:t xml:space="preserve">дванадцять місяців, що безпосередньо передують даті, на яку здійснюється розрахунок нормативу. Якщо </w:t>
      </w:r>
      <w:r w:rsidR="00B05C4F" w:rsidRPr="00B35439">
        <w:rPr>
          <w:rFonts w:eastAsia="Calibri"/>
          <w:shd w:val="clear" w:color="auto" w:fill="FFFFFF"/>
        </w:rPr>
        <w:t>період</w:t>
      </w:r>
      <w:r w:rsidR="00D439F3" w:rsidRPr="00B35439">
        <w:rPr>
          <w:rFonts w:eastAsia="Calibri"/>
          <w:shd w:val="clear" w:color="auto" w:fill="FFFFFF"/>
        </w:rPr>
        <w:t xml:space="preserve"> </w:t>
      </w:r>
      <w:r w:rsidR="00D439F3" w:rsidRPr="00B35439">
        <w:rPr>
          <w:color w:val="000000"/>
        </w:rPr>
        <w:t xml:space="preserve">з дати отримання страховиком першої ліцензії на здійснення діяльності у сфері страхування до </w:t>
      </w:r>
      <w:r w:rsidR="00D439F3" w:rsidRPr="00B35439">
        <w:rPr>
          <w:rFonts w:eastAsia="Calibri"/>
          <w:shd w:val="clear" w:color="auto" w:fill="FFFFFF"/>
        </w:rPr>
        <w:t>дати, на яку здійснюється розрахунок нормативу, становить менше 12 місяців, застосовується фактичний період здійснення діяльності страховиком;</w:t>
      </w:r>
    </w:p>
    <w:p w14:paraId="75710FF4" w14:textId="39BB5A39" w:rsidR="00CD3F38" w:rsidRPr="00B35439" w:rsidRDefault="00AD09A2" w:rsidP="00CD3F38">
      <w:pPr>
        <w:widowControl w:val="0"/>
        <w:ind w:firstLine="709"/>
        <w:rPr>
          <w:lang w:eastAsia="en-US"/>
        </w:rPr>
      </w:pPr>
      <m:oMath>
        <m:sSup>
          <m:sSupPr>
            <m:ctrlPr>
              <w:rPr>
                <w:rFonts w:ascii="Cambria Math" w:hAnsi="Cambria Math"/>
                <w:lang w:eastAsia="en-US"/>
              </w:rPr>
            </m:ctrlPr>
          </m:sSupPr>
          <m:e>
            <m:r>
              <m:rPr>
                <m:sty m:val="p"/>
              </m:rPr>
              <w:rPr>
                <w:rFonts w:ascii="Cambria Math" w:hAnsi="Cambria Math"/>
                <w:lang w:eastAsia="en-US"/>
              </w:rPr>
              <m:t>СП</m:t>
            </m:r>
          </m:e>
          <m:sup>
            <m:r>
              <m:rPr>
                <m:sty m:val="p"/>
              </m:rPr>
              <w:rPr>
                <w:rFonts w:ascii="Cambria Math" w:hAnsi="Cambria Math"/>
                <w:lang w:eastAsia="en-US"/>
              </w:rPr>
              <m:t>ін</m:t>
            </m:r>
          </m:sup>
        </m:sSup>
      </m:oMath>
      <w:r w:rsidR="00CD3F38" w:rsidRPr="00B35439">
        <w:rPr>
          <w:rFonts w:eastAsia="Calibri"/>
          <w:lang w:eastAsia="en-US"/>
        </w:rPr>
        <w:t xml:space="preserve"> – </w:t>
      </w:r>
      <w:r w:rsidR="00CD3F38" w:rsidRPr="00B35439">
        <w:rPr>
          <w:lang w:eastAsia="en-US"/>
        </w:rPr>
        <w:t>надходження сум страхових премій у розрахунковому періоді 1 з</w:t>
      </w:r>
      <w:r w:rsidR="00774418" w:rsidRPr="00B35439">
        <w:rPr>
          <w:lang w:eastAsia="en-US"/>
        </w:rPr>
        <w:t>а</w:t>
      </w:r>
      <w:r w:rsidR="00CD3F38" w:rsidRPr="00B35439">
        <w:rPr>
          <w:lang w:eastAsia="en-US"/>
        </w:rPr>
        <w:t xml:space="preserve"> видами страхування іншими, ніж види страхування відповідальності,</w:t>
      </w:r>
      <w:r w:rsidR="00CD3F38" w:rsidRPr="00B35439">
        <w:rPr>
          <w:vertAlign w:val="superscript"/>
          <w:lang w:eastAsia="en-US"/>
        </w:rPr>
        <w:t xml:space="preserve"> </w:t>
      </w:r>
      <w:r w:rsidR="00CD3F38" w:rsidRPr="00B35439">
        <w:rPr>
          <w:lang w:eastAsia="en-US"/>
        </w:rPr>
        <w:t>за договорами страхування та вхідного перестрахування;</w:t>
      </w:r>
    </w:p>
    <w:p w14:paraId="0D7E0AF7" w14:textId="77777777" w:rsidR="00CD3F38" w:rsidRPr="00B35439" w:rsidRDefault="00CD3F38" w:rsidP="00CD3F38">
      <w:pPr>
        <w:widowControl w:val="0"/>
        <w:ind w:firstLine="709"/>
        <w:rPr>
          <w:lang w:eastAsia="en-US"/>
        </w:rPr>
      </w:pPr>
      <m:oMath>
        <m:r>
          <m:rPr>
            <m:sty m:val="p"/>
          </m:rPr>
          <w:rPr>
            <w:rFonts w:ascii="Cambria Math" w:hAnsi="Cambria Math"/>
            <w:lang w:eastAsia="en-US"/>
          </w:rPr>
          <m:t>Податки</m:t>
        </m:r>
      </m:oMath>
      <w:r w:rsidRPr="00B35439">
        <w:rPr>
          <w:lang w:eastAsia="en-US"/>
        </w:rPr>
        <w:t xml:space="preserve"> </w:t>
      </w:r>
      <w:r w:rsidRPr="00B35439">
        <w:rPr>
          <w:rFonts w:eastAsia="Calibri"/>
          <w:lang w:eastAsia="en-US"/>
        </w:rPr>
        <w:t xml:space="preserve">– податок на дохід за договорами страхування, співстрахування і перестрахування, визначений підпунктом 141.1.2 пункту 141.1 статті 141 розділу ІІІ Податкового Кодексу України, нарахований </w:t>
      </w:r>
      <w:r w:rsidRPr="00B35439">
        <w:rPr>
          <w:lang w:eastAsia="en-US"/>
        </w:rPr>
        <w:t>у розрахунковому періоді 1;</w:t>
      </w:r>
    </w:p>
    <w:p w14:paraId="37775B01" w14:textId="77777777" w:rsidR="00CD3F38" w:rsidRPr="00B35439" w:rsidRDefault="00AD09A2" w:rsidP="00CD3F38">
      <w:pPr>
        <w:widowControl w:val="0"/>
        <w:ind w:firstLine="709"/>
        <w:rPr>
          <w:lang w:eastAsia="en-US"/>
        </w:rPr>
      </w:pPr>
      <m:oMath>
        <m:sSub>
          <m:sSubPr>
            <m:ctrlPr>
              <w:rPr>
                <w:rFonts w:ascii="Cambria Math" w:hAnsi="Cambria Math"/>
                <w:lang w:eastAsia="en-US"/>
              </w:rPr>
            </m:ctrlPr>
          </m:sSubPr>
          <m:e>
            <m:r>
              <m:rPr>
                <m:sty m:val="p"/>
              </m:rPr>
              <w:rPr>
                <w:rFonts w:ascii="Cambria Math" w:hAnsi="Cambria Math"/>
                <w:lang w:eastAsia="en-US"/>
              </w:rPr>
              <m:t>k</m:t>
            </m:r>
          </m:e>
          <m:sub>
            <m:r>
              <m:rPr>
                <m:sty m:val="p"/>
              </m:rPr>
              <w:rPr>
                <w:rFonts w:ascii="Cambria Math" w:hAnsi="Cambria Math"/>
                <w:lang w:eastAsia="en-US"/>
              </w:rPr>
              <m:t>re</m:t>
            </m:r>
          </m:sub>
        </m:sSub>
      </m:oMath>
      <w:r w:rsidR="00CD3F38" w:rsidRPr="00B35439">
        <w:rPr>
          <w:rFonts w:eastAsia="Calibri"/>
          <w:lang w:eastAsia="en-US"/>
        </w:rPr>
        <w:t xml:space="preserve"> – </w:t>
      </w:r>
      <w:r w:rsidR="00CD3F38" w:rsidRPr="00B35439">
        <w:rPr>
          <w:lang w:eastAsia="en-US"/>
        </w:rPr>
        <w:t>коефіцієнт ефективності перестрахування, що визначається за наступною формулою та не може бути меншим за 0,5:</w:t>
      </w:r>
    </w:p>
    <w:p w14:paraId="78EB14D2" w14:textId="77777777" w:rsidR="00CD3F38" w:rsidRPr="00B35439" w:rsidRDefault="00CD3F38" w:rsidP="00CD3F38">
      <w:pPr>
        <w:widowControl w:val="0"/>
        <w:ind w:firstLine="709"/>
        <w:rPr>
          <w:lang w:eastAsia="en-US"/>
        </w:rPr>
      </w:pPr>
    </w:p>
    <w:p w14:paraId="6D8AA5DC" w14:textId="77777777" w:rsidR="00CD3F38" w:rsidRPr="00B35439" w:rsidRDefault="00AD09A2" w:rsidP="00CD3F38">
      <w:pPr>
        <w:widowControl w:val="0"/>
        <w:ind w:firstLine="709"/>
        <w:jc w:val="center"/>
        <w:rPr>
          <w:lang w:eastAsia="en-US"/>
        </w:rPr>
      </w:pPr>
      <m:oMathPara>
        <m:oMath>
          <m:sSub>
            <m:sSubPr>
              <m:ctrlPr>
                <w:rPr>
                  <w:rFonts w:ascii="Cambria Math" w:hAnsi="Cambria Math"/>
                  <w:lang w:eastAsia="en-US"/>
                </w:rPr>
              </m:ctrlPr>
            </m:sSubPr>
            <m:e>
              <m:r>
                <m:rPr>
                  <m:sty m:val="p"/>
                </m:rPr>
                <w:rPr>
                  <w:rFonts w:ascii="Cambria Math" w:hAnsi="Cambria Math"/>
                  <w:lang w:eastAsia="en-US"/>
                </w:rPr>
                <m:t>k</m:t>
              </m:r>
            </m:e>
            <m:sub>
              <m:r>
                <m:rPr>
                  <m:sty m:val="p"/>
                </m:rPr>
                <w:rPr>
                  <w:rFonts w:ascii="Cambria Math" w:hAnsi="Cambria Math"/>
                  <w:lang w:eastAsia="en-US"/>
                </w:rPr>
                <m:t>re</m:t>
              </m:r>
            </m:sub>
          </m:sSub>
          <m:r>
            <m:rPr>
              <m:sty m:val="p"/>
            </m:rPr>
            <w:rPr>
              <w:rFonts w:ascii="Cambria Math" w:hAnsi="Cambria Math"/>
              <w:lang w:eastAsia="en-US"/>
            </w:rPr>
            <m:t>=</m:t>
          </m:r>
          <m:f>
            <m:fPr>
              <m:ctrlPr>
                <w:rPr>
                  <w:rFonts w:ascii="Cambria Math" w:hAnsi="Cambria Math"/>
                  <w:lang w:eastAsia="en-US"/>
                </w:rPr>
              </m:ctrlPr>
            </m:fPr>
            <m:num>
              <m:sSub>
                <m:sSubPr>
                  <m:ctrlPr>
                    <w:rPr>
                      <w:rFonts w:ascii="Cambria Math" w:hAnsi="Cambria Math"/>
                      <w:lang w:eastAsia="en-US"/>
                    </w:rPr>
                  </m:ctrlPr>
                </m:sSubPr>
                <m:e>
                  <m:r>
                    <m:rPr>
                      <m:sty m:val="p"/>
                    </m:rPr>
                    <w:rPr>
                      <w:rFonts w:ascii="Cambria Math" w:hAnsi="Cambria Math"/>
                      <w:lang w:eastAsia="en-US"/>
                    </w:rPr>
                    <m:t>ЗБ</m:t>
                  </m:r>
                </m:e>
                <m:sub>
                  <m:r>
                    <w:rPr>
                      <w:rFonts w:ascii="Cambria Math" w:hAnsi="Cambria Math"/>
                      <w:lang w:eastAsia="en-US"/>
                    </w:rPr>
                    <m:t>нетто</m:t>
                  </m:r>
                </m:sub>
              </m:sSub>
            </m:num>
            <m:den>
              <m:sSub>
                <m:sSubPr>
                  <m:ctrlPr>
                    <w:rPr>
                      <w:rFonts w:ascii="Cambria Math" w:hAnsi="Cambria Math"/>
                      <w:lang w:eastAsia="en-US"/>
                    </w:rPr>
                  </m:ctrlPr>
                </m:sSubPr>
                <m:e>
                  <m:r>
                    <m:rPr>
                      <m:sty m:val="p"/>
                    </m:rPr>
                    <w:rPr>
                      <w:rFonts w:ascii="Cambria Math" w:hAnsi="Cambria Math"/>
                      <w:lang w:eastAsia="en-US"/>
                    </w:rPr>
                    <m:t>ЗБ</m:t>
                  </m:r>
                </m:e>
                <m:sub>
                  <m:r>
                    <w:rPr>
                      <w:rFonts w:ascii="Cambria Math" w:hAnsi="Cambria Math"/>
                      <w:lang w:eastAsia="en-US"/>
                    </w:rPr>
                    <m:t>брутто</m:t>
                  </m:r>
                </m:sub>
              </m:sSub>
            </m:den>
          </m:f>
          <m:r>
            <w:rPr>
              <w:rFonts w:ascii="Cambria Math" w:hAnsi="Cambria Math"/>
              <w:lang w:eastAsia="en-US"/>
            </w:rPr>
            <m:t>,</m:t>
          </m:r>
        </m:oMath>
      </m:oMathPara>
    </w:p>
    <w:p w14:paraId="7B09E693" w14:textId="77777777" w:rsidR="00CD3F38" w:rsidRPr="00B35439" w:rsidRDefault="00CD3F38" w:rsidP="00CD3F38">
      <w:pPr>
        <w:widowControl w:val="0"/>
        <w:ind w:firstLine="709"/>
        <w:rPr>
          <w:lang w:eastAsia="en-US"/>
        </w:rPr>
      </w:pPr>
    </w:p>
    <w:p w14:paraId="45DF86C5" w14:textId="4D9DD55B" w:rsidR="00CD3F38" w:rsidRPr="00B35439" w:rsidRDefault="00CD3F38" w:rsidP="00CD3F38">
      <w:pPr>
        <w:widowControl w:val="0"/>
        <w:ind w:firstLine="709"/>
        <w:rPr>
          <w:lang w:eastAsia="en-US"/>
        </w:rPr>
      </w:pPr>
      <w:r w:rsidRPr="00B35439">
        <w:rPr>
          <w:lang w:eastAsia="en-US"/>
        </w:rPr>
        <w:t xml:space="preserve">де </w:t>
      </w:r>
      <m:oMath>
        <m:sSub>
          <m:sSubPr>
            <m:ctrlPr>
              <w:rPr>
                <w:rFonts w:ascii="Cambria Math" w:hAnsi="Cambria Math"/>
                <w:lang w:eastAsia="en-US"/>
              </w:rPr>
            </m:ctrlPr>
          </m:sSubPr>
          <m:e>
            <m:r>
              <m:rPr>
                <m:sty m:val="p"/>
              </m:rPr>
              <w:rPr>
                <w:rFonts w:ascii="Cambria Math" w:hAnsi="Cambria Math"/>
                <w:lang w:eastAsia="en-US"/>
              </w:rPr>
              <m:t>ЗБ</m:t>
            </m:r>
          </m:e>
          <m:sub>
            <m:r>
              <w:rPr>
                <w:rFonts w:ascii="Cambria Math" w:hAnsi="Cambria Math"/>
                <w:lang w:eastAsia="en-US"/>
              </w:rPr>
              <m:t>брутто</m:t>
            </m:r>
          </m:sub>
        </m:sSub>
      </m:oMath>
      <w:r w:rsidRPr="00B35439">
        <w:rPr>
          <w:lang w:eastAsia="en-US"/>
        </w:rPr>
        <w:t xml:space="preserve"> – розмір збитків, що визначається </w:t>
      </w:r>
      <w:r w:rsidR="00100246">
        <w:rPr>
          <w:rFonts w:eastAsiaTheme="majorEastAsia"/>
          <w:lang w:eastAsia="en-US"/>
        </w:rPr>
        <w:t>за такою формулою</w:t>
      </w:r>
      <w:r w:rsidRPr="00B35439">
        <w:rPr>
          <w:lang w:eastAsia="en-US"/>
        </w:rPr>
        <w:t>:</w:t>
      </w:r>
    </w:p>
    <w:p w14:paraId="2B4206AA" w14:textId="77777777" w:rsidR="00CD3F38" w:rsidRPr="00B35439" w:rsidRDefault="00CD3F38" w:rsidP="00CD3F38">
      <w:pPr>
        <w:widowControl w:val="0"/>
        <w:ind w:firstLine="709"/>
        <w:rPr>
          <w:rFonts w:eastAsia="Calibri"/>
          <w:lang w:eastAsia="en-US"/>
        </w:rPr>
      </w:pPr>
    </w:p>
    <w:p w14:paraId="1F066C18" w14:textId="77777777" w:rsidR="00CD3F38" w:rsidRPr="00B35439" w:rsidRDefault="00AD09A2" w:rsidP="00CD3F38">
      <w:pPr>
        <w:widowControl w:val="0"/>
        <w:ind w:firstLine="709"/>
        <w:jc w:val="center"/>
        <w:rPr>
          <w:lang w:eastAsia="en-US"/>
        </w:rPr>
      </w:pPr>
      <m:oMath>
        <m:sSub>
          <m:sSubPr>
            <m:ctrlPr>
              <w:rPr>
                <w:rFonts w:ascii="Cambria Math" w:hAnsi="Cambria Math"/>
                <w:lang w:eastAsia="en-US"/>
              </w:rPr>
            </m:ctrlPr>
          </m:sSubPr>
          <m:e>
            <m:r>
              <m:rPr>
                <m:sty m:val="p"/>
              </m:rPr>
              <w:rPr>
                <w:rFonts w:ascii="Cambria Math" w:hAnsi="Cambria Math"/>
                <w:lang w:eastAsia="en-US"/>
              </w:rPr>
              <m:t>ЗБ</m:t>
            </m:r>
          </m:e>
          <m:sub>
            <m:r>
              <w:rPr>
                <w:rFonts w:ascii="Cambria Math" w:hAnsi="Cambria Math"/>
                <w:lang w:eastAsia="en-US"/>
              </w:rPr>
              <m:t>брутто</m:t>
            </m:r>
          </m:sub>
        </m:sSub>
        <m:r>
          <m:rPr>
            <m:sty m:val="p"/>
          </m:rPr>
          <w:rPr>
            <w:rFonts w:ascii="Cambria Math" w:hAnsi="Cambria Math"/>
            <w:lang w:eastAsia="en-US"/>
          </w:rPr>
          <m:t>=</m:t>
        </m:r>
        <m:r>
          <w:rPr>
            <w:rFonts w:ascii="Cambria Math" w:hAnsi="Cambria Math"/>
            <w:lang w:eastAsia="en-US"/>
          </w:rPr>
          <m:t>СВ</m:t>
        </m:r>
        <m:r>
          <m:rPr>
            <m:sty m:val="p"/>
          </m:rPr>
          <w:rPr>
            <w:rFonts w:ascii="Cambria Math" w:hAnsi="Cambria Math"/>
            <w:lang w:eastAsia="en-US"/>
          </w:rPr>
          <m:t>+(</m:t>
        </m:r>
        <m:sSub>
          <m:sSubPr>
            <m:ctrlPr>
              <w:rPr>
                <w:rFonts w:ascii="Cambria Math" w:hAnsi="Cambria Math"/>
                <w:lang w:eastAsia="en-US"/>
              </w:rPr>
            </m:ctrlPr>
          </m:sSubPr>
          <m:e>
            <m:r>
              <m:rPr>
                <m:sty m:val="p"/>
              </m:rPr>
              <w:rPr>
                <w:rFonts w:ascii="Cambria Math" w:hAnsi="Cambria Math"/>
                <w:lang w:eastAsia="en-US"/>
              </w:rPr>
              <m:t>RBNS</m:t>
            </m:r>
          </m:e>
          <m:sub>
            <m:r>
              <w:rPr>
                <w:rFonts w:ascii="Cambria Math" w:hAnsi="Cambria Math"/>
                <w:lang w:eastAsia="en-US"/>
              </w:rPr>
              <m:t>к</m:t>
            </m:r>
          </m:sub>
        </m:sSub>
        <m:r>
          <m:rPr>
            <m:sty m:val="p"/>
          </m:rPr>
          <w:rPr>
            <w:rFonts w:ascii="Cambria Math" w:hAnsi="Cambria Math"/>
            <w:lang w:eastAsia="en-US"/>
          </w:rPr>
          <m:t>-</m:t>
        </m:r>
        <m:sSub>
          <m:sSubPr>
            <m:ctrlPr>
              <w:rPr>
                <w:rFonts w:ascii="Cambria Math" w:hAnsi="Cambria Math"/>
                <w:lang w:eastAsia="en-US"/>
              </w:rPr>
            </m:ctrlPr>
          </m:sSubPr>
          <m:e>
            <m:r>
              <m:rPr>
                <m:sty m:val="p"/>
              </m:rPr>
              <w:rPr>
                <w:rFonts w:ascii="Cambria Math" w:hAnsi="Cambria Math"/>
                <w:lang w:eastAsia="en-US"/>
              </w:rPr>
              <m:t>RBNS</m:t>
            </m:r>
          </m:e>
          <m:sub>
            <m:r>
              <w:rPr>
                <w:rFonts w:ascii="Cambria Math" w:hAnsi="Cambria Math"/>
                <w:lang w:eastAsia="en-US"/>
              </w:rPr>
              <m:t>п</m:t>
            </m:r>
          </m:sub>
        </m:sSub>
        <m:r>
          <m:rPr>
            <m:sty m:val="p"/>
          </m:rPr>
          <w:rPr>
            <w:rFonts w:ascii="Cambria Math" w:hAnsi="Cambria Math"/>
            <w:lang w:eastAsia="en-US"/>
          </w:rPr>
          <m:t>)+(</m:t>
        </m:r>
        <m:sSub>
          <m:sSubPr>
            <m:ctrlPr>
              <w:rPr>
                <w:rFonts w:ascii="Cambria Math" w:hAnsi="Cambria Math"/>
                <w:lang w:eastAsia="en-US"/>
              </w:rPr>
            </m:ctrlPr>
          </m:sSubPr>
          <m:e>
            <m:r>
              <m:rPr>
                <m:sty m:val="p"/>
              </m:rPr>
              <w:rPr>
                <w:rFonts w:ascii="Cambria Math" w:hAnsi="Cambria Math"/>
                <w:lang w:eastAsia="en-US"/>
              </w:rPr>
              <m:t>IBNR</m:t>
            </m:r>
          </m:e>
          <m:sub>
            <m:r>
              <w:rPr>
                <w:rFonts w:ascii="Cambria Math" w:hAnsi="Cambria Math"/>
                <w:lang w:eastAsia="en-US"/>
              </w:rPr>
              <m:t>к</m:t>
            </m:r>
          </m:sub>
        </m:sSub>
        <m:r>
          <m:rPr>
            <m:sty m:val="p"/>
          </m:rPr>
          <w:rPr>
            <w:rFonts w:ascii="Cambria Math" w:hAnsi="Cambria Math"/>
            <w:lang w:eastAsia="en-US"/>
          </w:rPr>
          <m:t>-</m:t>
        </m:r>
        <m:sSub>
          <m:sSubPr>
            <m:ctrlPr>
              <w:rPr>
                <w:rFonts w:ascii="Cambria Math" w:hAnsi="Cambria Math"/>
                <w:lang w:eastAsia="en-US"/>
              </w:rPr>
            </m:ctrlPr>
          </m:sSubPr>
          <m:e>
            <m:r>
              <m:rPr>
                <m:sty m:val="p"/>
              </m:rPr>
              <w:rPr>
                <w:rFonts w:ascii="Cambria Math" w:hAnsi="Cambria Math"/>
                <w:lang w:eastAsia="en-US"/>
              </w:rPr>
              <m:t>IBNR</m:t>
            </m:r>
          </m:e>
          <m:sub>
            <m:r>
              <w:rPr>
                <w:rFonts w:ascii="Cambria Math" w:hAnsi="Cambria Math"/>
                <w:lang w:eastAsia="en-US"/>
              </w:rPr>
              <m:t>п</m:t>
            </m:r>
          </m:sub>
        </m:sSub>
        <m:r>
          <m:rPr>
            <m:sty m:val="p"/>
          </m:rPr>
          <w:rPr>
            <w:rFonts w:ascii="Cambria Math" w:hAnsi="Cambria Math"/>
            <w:lang w:eastAsia="en-US"/>
          </w:rPr>
          <m:t>)+</m:t>
        </m:r>
        <m:r>
          <w:rPr>
            <w:rFonts w:ascii="Cambria Math" w:hAnsi="Cambria Math"/>
            <w:lang w:eastAsia="en-US"/>
          </w:rPr>
          <m:t>ВВ</m:t>
        </m:r>
      </m:oMath>
      <w:r w:rsidR="00CD3F38" w:rsidRPr="00B35439">
        <w:rPr>
          <w:lang w:eastAsia="en-US"/>
        </w:rPr>
        <w:t>,</w:t>
      </w:r>
    </w:p>
    <w:p w14:paraId="546DA15F" w14:textId="77777777" w:rsidR="00CD3F38" w:rsidRPr="00B35439" w:rsidRDefault="00CD3F38" w:rsidP="00CD3F38">
      <w:pPr>
        <w:widowControl w:val="0"/>
        <w:ind w:firstLine="709"/>
        <w:rPr>
          <w:lang w:eastAsia="en-US"/>
        </w:rPr>
      </w:pPr>
    </w:p>
    <w:p w14:paraId="5D1A2D05" w14:textId="6D282345" w:rsidR="00D439F3" w:rsidRPr="00B35439" w:rsidRDefault="00CD3F38" w:rsidP="00D439F3">
      <w:pPr>
        <w:widowControl w:val="0"/>
        <w:ind w:firstLine="709"/>
        <w:rPr>
          <w:lang w:eastAsia="en-US"/>
        </w:rPr>
      </w:pPr>
      <w:r w:rsidRPr="00B35439">
        <w:rPr>
          <w:lang w:eastAsia="en-US"/>
        </w:rPr>
        <w:t xml:space="preserve">де </w:t>
      </w:r>
      <m:oMath>
        <m:r>
          <m:rPr>
            <m:sty m:val="p"/>
          </m:rPr>
          <w:rPr>
            <w:rFonts w:ascii="Cambria Math" w:hAnsi="Cambria Math"/>
            <w:lang w:eastAsia="en-US"/>
          </w:rPr>
          <m:t>СВ</m:t>
        </m:r>
      </m:oMath>
      <w:r w:rsidRPr="00B35439">
        <w:rPr>
          <w:lang w:eastAsia="en-US"/>
        </w:rPr>
        <w:t xml:space="preserve"> – страхові виплати (страхові відшкодування), нараховані у розрахунковому періоді 2</w:t>
      </w:r>
      <w:r w:rsidR="007622BC" w:rsidRPr="00B35439">
        <w:rPr>
          <w:lang w:eastAsia="en-US"/>
        </w:rPr>
        <w:t>. Р</w:t>
      </w:r>
      <w:r w:rsidR="00D439F3" w:rsidRPr="00B35439">
        <w:rPr>
          <w:lang w:eastAsia="en-US"/>
        </w:rPr>
        <w:t xml:space="preserve">озрахунковий період 2 – </w:t>
      </w:r>
      <w:r w:rsidR="00D439F3" w:rsidRPr="00B35439">
        <w:rPr>
          <w:rFonts w:eastAsia="Calibri"/>
          <w:shd w:val="clear" w:color="auto" w:fill="FFFFFF"/>
        </w:rPr>
        <w:t xml:space="preserve">тридцять шість місяців, що безпосередньо передують даті, на яку здійснюється розрахунок нормативу. Якщо </w:t>
      </w:r>
      <w:r w:rsidR="00B05C4F" w:rsidRPr="00B35439">
        <w:rPr>
          <w:rFonts w:eastAsia="Calibri"/>
          <w:shd w:val="clear" w:color="auto" w:fill="FFFFFF"/>
        </w:rPr>
        <w:t>період</w:t>
      </w:r>
      <w:r w:rsidR="00D439F3" w:rsidRPr="00B35439">
        <w:rPr>
          <w:rFonts w:eastAsia="Calibri"/>
          <w:shd w:val="clear" w:color="auto" w:fill="FFFFFF"/>
        </w:rPr>
        <w:t xml:space="preserve"> </w:t>
      </w:r>
      <w:r w:rsidR="00D439F3" w:rsidRPr="00B35439">
        <w:rPr>
          <w:color w:val="000000"/>
        </w:rPr>
        <w:t xml:space="preserve">з дати отримання страховиком першої ліцензії на здійснення діяльності у сфері страхування до </w:t>
      </w:r>
      <w:r w:rsidR="00D439F3" w:rsidRPr="00B35439">
        <w:rPr>
          <w:rFonts w:eastAsia="Calibri"/>
          <w:shd w:val="clear" w:color="auto" w:fill="FFFFFF"/>
        </w:rPr>
        <w:t>дати, на яку здійснюється розрахунок нормативу, становить менше 36 місяців, застосовується фактичний період здійснення діяльності страховиком;</w:t>
      </w:r>
    </w:p>
    <w:p w14:paraId="511A6165" w14:textId="1F3FE1BB" w:rsidR="00CD3F38" w:rsidRPr="00B35439" w:rsidRDefault="00AD09A2" w:rsidP="00CD3F38">
      <w:pPr>
        <w:widowControl w:val="0"/>
        <w:ind w:firstLine="709"/>
        <w:rPr>
          <w:lang w:eastAsia="en-US"/>
        </w:rPr>
      </w:pPr>
      <m:oMath>
        <m:sSub>
          <m:sSubPr>
            <m:ctrlPr>
              <w:rPr>
                <w:rFonts w:ascii="Cambria Math" w:hAnsi="Cambria Math"/>
                <w:lang w:eastAsia="en-US"/>
              </w:rPr>
            </m:ctrlPr>
          </m:sSubPr>
          <m:e>
            <m:r>
              <m:rPr>
                <m:sty m:val="p"/>
              </m:rPr>
              <w:rPr>
                <w:rFonts w:ascii="Cambria Math" w:hAnsi="Cambria Math"/>
                <w:lang w:eastAsia="en-US"/>
              </w:rPr>
              <m:t>RBNS</m:t>
            </m:r>
          </m:e>
          <m:sub>
            <m:r>
              <w:rPr>
                <w:rFonts w:ascii="Cambria Math" w:hAnsi="Cambria Math"/>
                <w:lang w:eastAsia="en-US"/>
              </w:rPr>
              <m:t>к</m:t>
            </m:r>
          </m:sub>
        </m:sSub>
        <m:r>
          <m:rPr>
            <m:sty m:val="p"/>
          </m:rPr>
          <w:rPr>
            <w:rFonts w:ascii="Cambria Math" w:hAnsi="Cambria Math"/>
            <w:lang w:eastAsia="en-US"/>
          </w:rPr>
          <m:t>,</m:t>
        </m:r>
        <m:sSub>
          <m:sSubPr>
            <m:ctrlPr>
              <w:rPr>
                <w:rFonts w:ascii="Cambria Math" w:hAnsi="Cambria Math"/>
                <w:lang w:eastAsia="en-US"/>
              </w:rPr>
            </m:ctrlPr>
          </m:sSubPr>
          <m:e>
            <m:r>
              <m:rPr>
                <m:sty m:val="p"/>
              </m:rPr>
              <w:rPr>
                <w:rFonts w:ascii="Cambria Math" w:hAnsi="Cambria Math"/>
                <w:lang w:eastAsia="en-US"/>
              </w:rPr>
              <m:t>RBNS</m:t>
            </m:r>
          </m:e>
          <m:sub>
            <m:r>
              <w:rPr>
                <w:rFonts w:ascii="Cambria Math" w:hAnsi="Cambria Math"/>
                <w:lang w:eastAsia="en-US"/>
              </w:rPr>
              <m:t>п</m:t>
            </m:r>
          </m:sub>
        </m:sSub>
      </m:oMath>
      <w:r w:rsidR="00CD3F38" w:rsidRPr="00B35439">
        <w:rPr>
          <w:lang w:eastAsia="en-US"/>
        </w:rPr>
        <w:t xml:space="preserve"> – розмір резерву заявлених, але не виплачених збитків, на кінець та початок розрахункового періоду 2 відповідно з урахуванням включених до цього резерву витрат на врегулювання збитків;</w:t>
      </w:r>
    </w:p>
    <w:p w14:paraId="7C1738B4" w14:textId="77777777" w:rsidR="00CD3F38" w:rsidRPr="00B35439" w:rsidRDefault="00AD09A2" w:rsidP="00CD3F38">
      <w:pPr>
        <w:widowControl w:val="0"/>
        <w:ind w:firstLine="709"/>
        <w:rPr>
          <w:lang w:eastAsia="en-US"/>
        </w:rPr>
      </w:pPr>
      <m:oMath>
        <m:sSub>
          <m:sSubPr>
            <m:ctrlPr>
              <w:rPr>
                <w:rFonts w:ascii="Cambria Math" w:hAnsi="Cambria Math"/>
                <w:lang w:eastAsia="en-US"/>
              </w:rPr>
            </m:ctrlPr>
          </m:sSubPr>
          <m:e>
            <m:r>
              <m:rPr>
                <m:sty m:val="p"/>
              </m:rPr>
              <w:rPr>
                <w:rFonts w:ascii="Cambria Math" w:hAnsi="Cambria Math"/>
                <w:lang w:eastAsia="en-US"/>
              </w:rPr>
              <m:t>IBNR</m:t>
            </m:r>
          </m:e>
          <m:sub>
            <m:r>
              <w:rPr>
                <w:rFonts w:ascii="Cambria Math" w:hAnsi="Cambria Math"/>
                <w:lang w:eastAsia="en-US"/>
              </w:rPr>
              <m:t>к</m:t>
            </m:r>
          </m:sub>
        </m:sSub>
        <m:r>
          <m:rPr>
            <m:sty m:val="p"/>
          </m:rPr>
          <w:rPr>
            <w:rFonts w:ascii="Cambria Math" w:hAnsi="Cambria Math"/>
            <w:lang w:eastAsia="en-US"/>
          </w:rPr>
          <m:t>,</m:t>
        </m:r>
        <m:sSub>
          <m:sSubPr>
            <m:ctrlPr>
              <w:rPr>
                <w:rFonts w:ascii="Cambria Math" w:hAnsi="Cambria Math"/>
                <w:lang w:eastAsia="en-US"/>
              </w:rPr>
            </m:ctrlPr>
          </m:sSubPr>
          <m:e>
            <m:r>
              <m:rPr>
                <m:sty m:val="p"/>
              </m:rPr>
              <w:rPr>
                <w:rFonts w:ascii="Cambria Math" w:hAnsi="Cambria Math"/>
                <w:lang w:eastAsia="en-US"/>
              </w:rPr>
              <m:t>IBNR</m:t>
            </m:r>
          </m:e>
          <m:sub>
            <m:r>
              <w:rPr>
                <w:rFonts w:ascii="Cambria Math" w:hAnsi="Cambria Math"/>
                <w:lang w:eastAsia="en-US"/>
              </w:rPr>
              <m:t>п</m:t>
            </m:r>
          </m:sub>
        </m:sSub>
      </m:oMath>
      <w:r w:rsidR="00CD3F38" w:rsidRPr="00B35439">
        <w:rPr>
          <w:lang w:eastAsia="en-US"/>
        </w:rPr>
        <w:t xml:space="preserve"> – розмір резерву збитків, які виникли, але не заявлені, на кінець та початок розрахункового періоду 2 відповідно з урахуванням включених до цього резерву витрат на врегулювання збитків;</w:t>
      </w:r>
    </w:p>
    <w:p w14:paraId="21E74981" w14:textId="77777777" w:rsidR="00CD3F38" w:rsidRPr="00B35439" w:rsidRDefault="00CD3F38" w:rsidP="00CD3F38">
      <w:pPr>
        <w:widowControl w:val="0"/>
        <w:ind w:firstLine="709"/>
        <w:rPr>
          <w:lang w:eastAsia="en-US"/>
        </w:rPr>
      </w:pPr>
      <m:oMath>
        <m:r>
          <w:rPr>
            <w:rFonts w:ascii="Cambria Math" w:hAnsi="Cambria Math"/>
            <w:lang w:eastAsia="en-US"/>
          </w:rPr>
          <m:t>ВВ</m:t>
        </m:r>
      </m:oMath>
      <w:r w:rsidRPr="00B35439">
        <w:rPr>
          <w:lang w:eastAsia="en-US"/>
        </w:rPr>
        <w:t xml:space="preserve"> – витрати на врегулювання збитків, нараховані у розрахунковому періоді 2;</w:t>
      </w:r>
    </w:p>
    <w:p w14:paraId="40FB93EF" w14:textId="7DB4A865" w:rsidR="00CD3F38" w:rsidRPr="00B35439" w:rsidRDefault="00AD09A2" w:rsidP="00CD3F38">
      <w:pPr>
        <w:widowControl w:val="0"/>
        <w:ind w:firstLine="709"/>
        <w:rPr>
          <w:lang w:eastAsia="en-US"/>
        </w:rPr>
      </w:pPr>
      <m:oMath>
        <m:sSub>
          <m:sSubPr>
            <m:ctrlPr>
              <w:rPr>
                <w:rFonts w:ascii="Cambria Math" w:hAnsi="Cambria Math"/>
                <w:lang w:eastAsia="en-US"/>
              </w:rPr>
            </m:ctrlPr>
          </m:sSubPr>
          <m:e>
            <m:r>
              <m:rPr>
                <m:sty m:val="p"/>
              </m:rPr>
              <w:rPr>
                <w:rFonts w:ascii="Cambria Math" w:hAnsi="Cambria Math"/>
                <w:lang w:eastAsia="en-US"/>
              </w:rPr>
              <m:t>ЗБ</m:t>
            </m:r>
          </m:e>
          <m:sub>
            <m:r>
              <w:rPr>
                <w:rFonts w:ascii="Cambria Math" w:hAnsi="Cambria Math"/>
                <w:lang w:eastAsia="en-US"/>
              </w:rPr>
              <m:t>нетто</m:t>
            </m:r>
          </m:sub>
        </m:sSub>
      </m:oMath>
      <w:r w:rsidR="00CD3F38" w:rsidRPr="00B35439">
        <w:rPr>
          <w:lang w:eastAsia="en-US"/>
        </w:rPr>
        <w:t xml:space="preserve"> – розмір збитків за вирахуванням прав вимоги до перестраховиків у резерві заявлених, але не виплачених збитків та резерві збитків, які виникли, але не заявлені, та часток страхових виплат (страхових </w:t>
      </w:r>
      <w:proofErr w:type="spellStart"/>
      <w:r w:rsidR="00CD3F38" w:rsidRPr="00B35439">
        <w:rPr>
          <w:lang w:eastAsia="en-US"/>
        </w:rPr>
        <w:t>відшкодувань</w:t>
      </w:r>
      <w:proofErr w:type="spellEnd"/>
      <w:r w:rsidR="00CD3F38" w:rsidRPr="00B35439">
        <w:rPr>
          <w:lang w:eastAsia="en-US"/>
        </w:rPr>
        <w:t xml:space="preserve">) та витрат на врегулюванням збитків, отриманих від </w:t>
      </w:r>
      <w:proofErr w:type="spellStart"/>
      <w:r w:rsidR="00CD3F38" w:rsidRPr="00B35439">
        <w:rPr>
          <w:lang w:eastAsia="en-US"/>
        </w:rPr>
        <w:t>перестраховиків</w:t>
      </w:r>
      <w:proofErr w:type="spellEnd"/>
      <w:r w:rsidR="00CD3F38" w:rsidRPr="00B35439">
        <w:rPr>
          <w:lang w:eastAsia="en-US"/>
        </w:rPr>
        <w:t xml:space="preserve">, що визначається </w:t>
      </w:r>
      <w:r w:rsidR="00100246">
        <w:rPr>
          <w:rFonts w:eastAsiaTheme="majorEastAsia"/>
          <w:lang w:eastAsia="en-US"/>
        </w:rPr>
        <w:t>за такою формулою</w:t>
      </w:r>
      <w:r w:rsidR="00CD3F38" w:rsidRPr="00B35439">
        <w:rPr>
          <w:lang w:eastAsia="en-US"/>
        </w:rPr>
        <w:t>:</w:t>
      </w:r>
    </w:p>
    <w:p w14:paraId="0E6708E6" w14:textId="77777777" w:rsidR="00CD3F38" w:rsidRPr="00B35439" w:rsidRDefault="00CD3F38" w:rsidP="00CD3F38">
      <w:pPr>
        <w:widowControl w:val="0"/>
        <w:ind w:firstLine="709"/>
        <w:rPr>
          <w:rFonts w:eastAsia="Calibri"/>
          <w:lang w:eastAsia="en-US"/>
        </w:rPr>
      </w:pPr>
    </w:p>
    <w:p w14:paraId="21CD2790" w14:textId="77777777" w:rsidR="00CD3F38" w:rsidRPr="00B35439" w:rsidRDefault="00AD09A2" w:rsidP="00CD3F38">
      <w:pPr>
        <w:widowControl w:val="0"/>
        <w:jc w:val="center"/>
        <w:rPr>
          <w:lang w:eastAsia="en-US"/>
        </w:rPr>
      </w:pPr>
      <m:oMath>
        <m:sSub>
          <m:sSubPr>
            <m:ctrlPr>
              <w:rPr>
                <w:rFonts w:ascii="Cambria Math" w:hAnsi="Cambria Math"/>
                <w:lang w:eastAsia="en-US"/>
              </w:rPr>
            </m:ctrlPr>
          </m:sSubPr>
          <m:e>
            <m:r>
              <m:rPr>
                <m:sty m:val="p"/>
              </m:rPr>
              <w:rPr>
                <w:rFonts w:ascii="Cambria Math" w:hAnsi="Cambria Math"/>
                <w:lang w:eastAsia="en-US"/>
              </w:rPr>
              <m:t>ЗБ</m:t>
            </m:r>
          </m:e>
          <m:sub>
            <m:r>
              <w:rPr>
                <w:rFonts w:ascii="Cambria Math" w:hAnsi="Cambria Math"/>
                <w:lang w:eastAsia="en-US"/>
              </w:rPr>
              <m:t>нетто</m:t>
            </m:r>
          </m:sub>
        </m:sSub>
        <m:r>
          <m:rPr>
            <m:sty m:val="p"/>
          </m:rPr>
          <w:rPr>
            <w:rFonts w:ascii="Cambria Math" w:hAnsi="Cambria Math"/>
            <w:lang w:eastAsia="en-US"/>
          </w:rPr>
          <m:t>=</m:t>
        </m:r>
        <m:sSub>
          <m:sSubPr>
            <m:ctrlPr>
              <w:rPr>
                <w:rFonts w:ascii="Cambria Math" w:hAnsi="Cambria Math"/>
                <w:lang w:eastAsia="en-US"/>
              </w:rPr>
            </m:ctrlPr>
          </m:sSubPr>
          <m:e>
            <m:r>
              <m:rPr>
                <m:sty m:val="p"/>
              </m:rPr>
              <w:rPr>
                <w:rFonts w:ascii="Cambria Math" w:hAnsi="Cambria Math"/>
                <w:lang w:eastAsia="en-US"/>
              </w:rPr>
              <m:t>ЗБ</m:t>
            </m:r>
          </m:e>
          <m:sub>
            <m:r>
              <w:rPr>
                <w:rFonts w:ascii="Cambria Math" w:hAnsi="Cambria Math"/>
                <w:lang w:eastAsia="en-US"/>
              </w:rPr>
              <m:t>брутто</m:t>
            </m:r>
          </m:sub>
        </m:sSub>
        <m:r>
          <w:rPr>
            <w:rFonts w:ascii="Cambria Math" w:hAnsi="Cambria Math"/>
            <w:lang w:eastAsia="en-US"/>
          </w:rPr>
          <m:t>-</m:t>
        </m:r>
        <m:sSup>
          <m:sSupPr>
            <m:ctrlPr>
              <w:rPr>
                <w:rFonts w:ascii="Cambria Math" w:hAnsi="Cambria Math"/>
                <w:lang w:eastAsia="en-US"/>
              </w:rPr>
            </m:ctrlPr>
          </m:sSupPr>
          <m:e>
            <m:r>
              <m:rPr>
                <m:sty m:val="p"/>
              </m:rPr>
              <w:rPr>
                <w:rFonts w:ascii="Cambria Math" w:hAnsi="Cambria Math"/>
                <w:lang w:eastAsia="en-US"/>
              </w:rPr>
              <m:t>СВ</m:t>
            </m:r>
          </m:e>
          <m:sup>
            <m:r>
              <w:rPr>
                <w:rFonts w:ascii="Cambria Math" w:hAnsi="Cambria Math"/>
                <w:lang w:eastAsia="en-US"/>
              </w:rPr>
              <m:t>re</m:t>
            </m:r>
          </m:sup>
        </m:sSup>
        <m:r>
          <m:rPr>
            <m:sty m:val="p"/>
          </m:rPr>
          <w:rPr>
            <w:rFonts w:ascii="Cambria Math" w:hAnsi="Cambria Math"/>
            <w:lang w:eastAsia="en-US"/>
          </w:rPr>
          <m:t>-</m:t>
        </m:r>
        <m:d>
          <m:dPr>
            <m:ctrlPr>
              <w:rPr>
                <w:rFonts w:ascii="Cambria Math" w:hAnsi="Cambria Math"/>
                <w:lang w:eastAsia="en-US"/>
              </w:rPr>
            </m:ctrlPr>
          </m:dPr>
          <m:e>
            <m:sSubSup>
              <m:sSubSupPr>
                <m:ctrlPr>
                  <w:rPr>
                    <w:rFonts w:ascii="Cambria Math" w:hAnsi="Cambria Math"/>
                    <w:lang w:eastAsia="en-US"/>
                  </w:rPr>
                </m:ctrlPr>
              </m:sSubSupPr>
              <m:e>
                <m:r>
                  <m:rPr>
                    <m:sty m:val="p"/>
                  </m:rPr>
                  <w:rPr>
                    <w:rFonts w:ascii="Cambria Math" w:hAnsi="Cambria Math"/>
                    <w:lang w:eastAsia="en-US"/>
                  </w:rPr>
                  <m:t>RBNS</m:t>
                </m:r>
              </m:e>
              <m:sub>
                <m:r>
                  <w:rPr>
                    <w:rFonts w:ascii="Cambria Math" w:hAnsi="Cambria Math"/>
                    <w:lang w:eastAsia="en-US"/>
                  </w:rPr>
                  <m:t>к</m:t>
                </m:r>
              </m:sub>
              <m:sup>
                <m:r>
                  <w:rPr>
                    <w:rFonts w:ascii="Cambria Math" w:hAnsi="Cambria Math"/>
                    <w:lang w:eastAsia="en-US"/>
                  </w:rPr>
                  <m:t>re</m:t>
                </m:r>
              </m:sup>
            </m:sSubSup>
            <m:r>
              <m:rPr>
                <m:sty m:val="p"/>
              </m:rPr>
              <w:rPr>
                <w:rFonts w:ascii="Cambria Math" w:hAnsi="Cambria Math"/>
                <w:lang w:eastAsia="en-US"/>
              </w:rPr>
              <m:t>-</m:t>
            </m:r>
            <m:sSubSup>
              <m:sSubSupPr>
                <m:ctrlPr>
                  <w:rPr>
                    <w:rFonts w:ascii="Cambria Math" w:hAnsi="Cambria Math"/>
                    <w:lang w:eastAsia="en-US"/>
                  </w:rPr>
                </m:ctrlPr>
              </m:sSubSupPr>
              <m:e>
                <m:r>
                  <m:rPr>
                    <m:sty m:val="p"/>
                  </m:rPr>
                  <w:rPr>
                    <w:rFonts w:ascii="Cambria Math" w:hAnsi="Cambria Math"/>
                    <w:lang w:eastAsia="en-US"/>
                  </w:rPr>
                  <m:t>RBNS</m:t>
                </m:r>
              </m:e>
              <m:sub>
                <m:r>
                  <w:rPr>
                    <w:rFonts w:ascii="Cambria Math" w:hAnsi="Cambria Math"/>
                    <w:lang w:eastAsia="en-US"/>
                  </w:rPr>
                  <m:t>п</m:t>
                </m:r>
              </m:sub>
              <m:sup>
                <m:r>
                  <w:rPr>
                    <w:rFonts w:ascii="Cambria Math" w:hAnsi="Cambria Math"/>
                    <w:lang w:eastAsia="en-US"/>
                  </w:rPr>
                  <m:t>re</m:t>
                </m:r>
              </m:sup>
            </m:sSubSup>
          </m:e>
        </m:d>
        <m:r>
          <m:rPr>
            <m:sty m:val="p"/>
          </m:rPr>
          <w:rPr>
            <w:rFonts w:ascii="Cambria Math" w:hAnsi="Cambria Math"/>
            <w:lang w:eastAsia="en-US"/>
          </w:rPr>
          <m:t>-</m:t>
        </m:r>
        <m:d>
          <m:dPr>
            <m:ctrlPr>
              <w:rPr>
                <w:rFonts w:ascii="Cambria Math" w:hAnsi="Cambria Math"/>
                <w:lang w:eastAsia="en-US"/>
              </w:rPr>
            </m:ctrlPr>
          </m:dPr>
          <m:e>
            <m:sSubSup>
              <m:sSubSupPr>
                <m:ctrlPr>
                  <w:rPr>
                    <w:rFonts w:ascii="Cambria Math" w:hAnsi="Cambria Math"/>
                    <w:lang w:eastAsia="en-US"/>
                  </w:rPr>
                </m:ctrlPr>
              </m:sSubSupPr>
              <m:e>
                <m:r>
                  <m:rPr>
                    <m:sty m:val="p"/>
                  </m:rPr>
                  <w:rPr>
                    <w:rFonts w:ascii="Cambria Math" w:hAnsi="Cambria Math"/>
                    <w:lang w:eastAsia="en-US"/>
                  </w:rPr>
                  <m:t>IBNR</m:t>
                </m:r>
              </m:e>
              <m:sub>
                <m:r>
                  <w:rPr>
                    <w:rFonts w:ascii="Cambria Math" w:hAnsi="Cambria Math"/>
                    <w:lang w:eastAsia="en-US"/>
                  </w:rPr>
                  <m:t>к</m:t>
                </m:r>
              </m:sub>
              <m:sup>
                <m:r>
                  <w:rPr>
                    <w:rFonts w:ascii="Cambria Math" w:hAnsi="Cambria Math"/>
                    <w:lang w:eastAsia="en-US"/>
                  </w:rPr>
                  <m:t>re</m:t>
                </m:r>
              </m:sup>
            </m:sSubSup>
            <m:r>
              <m:rPr>
                <m:sty m:val="p"/>
              </m:rPr>
              <w:rPr>
                <w:rFonts w:ascii="Cambria Math" w:hAnsi="Cambria Math"/>
                <w:lang w:eastAsia="en-US"/>
              </w:rPr>
              <m:t>-</m:t>
            </m:r>
            <m:sSubSup>
              <m:sSubSupPr>
                <m:ctrlPr>
                  <w:rPr>
                    <w:rFonts w:ascii="Cambria Math" w:hAnsi="Cambria Math"/>
                    <w:lang w:eastAsia="en-US"/>
                  </w:rPr>
                </m:ctrlPr>
              </m:sSubSupPr>
              <m:e>
                <m:r>
                  <m:rPr>
                    <m:sty m:val="p"/>
                  </m:rPr>
                  <w:rPr>
                    <w:rFonts w:ascii="Cambria Math" w:hAnsi="Cambria Math"/>
                    <w:lang w:eastAsia="en-US"/>
                  </w:rPr>
                  <m:t>IBNR</m:t>
                </m:r>
              </m:e>
              <m:sub>
                <m:r>
                  <w:rPr>
                    <w:rFonts w:ascii="Cambria Math" w:hAnsi="Cambria Math"/>
                    <w:lang w:eastAsia="en-US"/>
                  </w:rPr>
                  <m:t>п</m:t>
                </m:r>
              </m:sub>
              <m:sup>
                <m:r>
                  <w:rPr>
                    <w:rFonts w:ascii="Cambria Math" w:hAnsi="Cambria Math"/>
                    <w:lang w:eastAsia="en-US"/>
                  </w:rPr>
                  <m:t>re</m:t>
                </m:r>
              </m:sup>
            </m:sSubSup>
          </m:e>
        </m:d>
        <m:r>
          <m:rPr>
            <m:sty m:val="p"/>
          </m:rPr>
          <w:rPr>
            <w:rFonts w:ascii="Cambria Math" w:hAnsi="Cambria Math"/>
            <w:lang w:eastAsia="en-US"/>
          </w:rPr>
          <m:t>-</m:t>
        </m:r>
        <m:sSup>
          <m:sSupPr>
            <m:ctrlPr>
              <w:rPr>
                <w:rFonts w:ascii="Cambria Math" w:hAnsi="Cambria Math"/>
                <w:i/>
                <w:lang w:eastAsia="en-US"/>
              </w:rPr>
            </m:ctrlPr>
          </m:sSupPr>
          <m:e>
            <m:r>
              <w:rPr>
                <w:rFonts w:ascii="Cambria Math" w:hAnsi="Cambria Math"/>
                <w:lang w:eastAsia="en-US"/>
              </w:rPr>
              <m:t>ВВ</m:t>
            </m:r>
          </m:e>
          <m:sup>
            <m:r>
              <w:rPr>
                <w:rFonts w:ascii="Cambria Math" w:hAnsi="Cambria Math"/>
                <w:lang w:eastAsia="en-US"/>
              </w:rPr>
              <m:t>re</m:t>
            </m:r>
          </m:sup>
        </m:sSup>
      </m:oMath>
      <w:r w:rsidR="00CD3F38" w:rsidRPr="00B35439">
        <w:rPr>
          <w:lang w:eastAsia="en-US"/>
        </w:rPr>
        <w:t>,</w:t>
      </w:r>
    </w:p>
    <w:p w14:paraId="56738824" w14:textId="77777777" w:rsidR="00CD3F38" w:rsidRPr="00B35439" w:rsidRDefault="00CD3F38" w:rsidP="00CD3F38">
      <w:pPr>
        <w:widowControl w:val="0"/>
        <w:ind w:firstLine="709"/>
        <w:rPr>
          <w:lang w:eastAsia="en-US"/>
        </w:rPr>
      </w:pPr>
    </w:p>
    <w:p w14:paraId="293ABC33" w14:textId="77777777" w:rsidR="00CD3F38" w:rsidRPr="00B35439" w:rsidRDefault="00CD3F38" w:rsidP="00CD3F38">
      <w:pPr>
        <w:widowControl w:val="0"/>
        <w:ind w:firstLine="709"/>
        <w:rPr>
          <w:lang w:eastAsia="en-US"/>
        </w:rPr>
      </w:pPr>
      <w:r w:rsidRPr="00B35439">
        <w:rPr>
          <w:lang w:eastAsia="en-US"/>
        </w:rPr>
        <w:t xml:space="preserve">де </w:t>
      </w:r>
      <m:oMath>
        <m:sSup>
          <m:sSupPr>
            <m:ctrlPr>
              <w:rPr>
                <w:rFonts w:ascii="Cambria Math" w:hAnsi="Cambria Math"/>
                <w:lang w:eastAsia="en-US"/>
              </w:rPr>
            </m:ctrlPr>
          </m:sSupPr>
          <m:e>
            <m:r>
              <m:rPr>
                <m:sty m:val="p"/>
              </m:rPr>
              <w:rPr>
                <w:rFonts w:ascii="Cambria Math" w:hAnsi="Cambria Math"/>
                <w:lang w:eastAsia="en-US"/>
              </w:rPr>
              <m:t>СВ</m:t>
            </m:r>
          </m:e>
          <m:sup>
            <m:r>
              <w:rPr>
                <w:rFonts w:ascii="Cambria Math" w:hAnsi="Cambria Math"/>
                <w:lang w:eastAsia="en-US"/>
              </w:rPr>
              <m:t>re</m:t>
            </m:r>
          </m:sup>
        </m:sSup>
        <m:r>
          <m:rPr>
            <m:sty m:val="p"/>
          </m:rPr>
          <w:rPr>
            <w:rFonts w:ascii="Cambria Math" w:hAnsi="Cambria Math"/>
            <w:u w:val="single"/>
            <w:lang w:eastAsia="en-US"/>
          </w:rPr>
          <m:t xml:space="preserve"> </m:t>
        </m:r>
      </m:oMath>
      <w:r w:rsidRPr="00B35439">
        <w:rPr>
          <w:lang w:eastAsia="en-US"/>
        </w:rPr>
        <w:t xml:space="preserve">– частки страхових виплат (страхових відшкодувань), нараховані до отримання від </w:t>
      </w:r>
      <w:proofErr w:type="spellStart"/>
      <w:r w:rsidRPr="00B35439">
        <w:rPr>
          <w:lang w:eastAsia="en-US"/>
        </w:rPr>
        <w:t>перестраховиків</w:t>
      </w:r>
      <w:proofErr w:type="spellEnd"/>
      <w:r w:rsidRPr="00B35439">
        <w:rPr>
          <w:lang w:eastAsia="en-US"/>
        </w:rPr>
        <w:t xml:space="preserve"> у розрахунковому періоді 2;</w:t>
      </w:r>
    </w:p>
    <w:p w14:paraId="4D52B250" w14:textId="77777777" w:rsidR="00CD3F38" w:rsidRPr="00B35439" w:rsidRDefault="00AD09A2" w:rsidP="00CD3F38">
      <w:pPr>
        <w:widowControl w:val="0"/>
        <w:ind w:firstLine="709"/>
        <w:rPr>
          <w:lang w:eastAsia="en-US"/>
        </w:rPr>
      </w:pPr>
      <m:oMath>
        <m:sSubSup>
          <m:sSubSupPr>
            <m:ctrlPr>
              <w:rPr>
                <w:rFonts w:ascii="Cambria Math" w:hAnsi="Cambria Math"/>
                <w:lang w:eastAsia="en-US"/>
              </w:rPr>
            </m:ctrlPr>
          </m:sSubSupPr>
          <m:e>
            <m:r>
              <m:rPr>
                <m:sty m:val="p"/>
              </m:rPr>
              <w:rPr>
                <w:rFonts w:ascii="Cambria Math" w:hAnsi="Cambria Math"/>
                <w:lang w:eastAsia="en-US"/>
              </w:rPr>
              <m:t>RBNS</m:t>
            </m:r>
          </m:e>
          <m:sub>
            <m:r>
              <w:rPr>
                <w:rFonts w:ascii="Cambria Math" w:hAnsi="Cambria Math"/>
                <w:lang w:eastAsia="en-US"/>
              </w:rPr>
              <m:t>к</m:t>
            </m:r>
          </m:sub>
          <m:sup>
            <m:r>
              <w:rPr>
                <w:rFonts w:ascii="Cambria Math" w:hAnsi="Cambria Math"/>
                <w:lang w:eastAsia="en-US"/>
              </w:rPr>
              <m:t>re</m:t>
            </m:r>
          </m:sup>
        </m:sSubSup>
        <m:r>
          <m:rPr>
            <m:sty m:val="p"/>
          </m:rPr>
          <w:rPr>
            <w:rFonts w:ascii="Cambria Math" w:hAnsi="Cambria Math"/>
            <w:lang w:eastAsia="en-US"/>
          </w:rPr>
          <m:t>,</m:t>
        </m:r>
        <m:sSubSup>
          <m:sSubSupPr>
            <m:ctrlPr>
              <w:rPr>
                <w:rFonts w:ascii="Cambria Math" w:hAnsi="Cambria Math"/>
                <w:lang w:eastAsia="en-US"/>
              </w:rPr>
            </m:ctrlPr>
          </m:sSubSupPr>
          <m:e>
            <m:r>
              <m:rPr>
                <m:sty m:val="p"/>
              </m:rPr>
              <w:rPr>
                <w:rFonts w:ascii="Cambria Math" w:hAnsi="Cambria Math"/>
                <w:lang w:eastAsia="en-US"/>
              </w:rPr>
              <m:t>RBNS</m:t>
            </m:r>
          </m:e>
          <m:sub>
            <m:r>
              <w:rPr>
                <w:rFonts w:ascii="Cambria Math" w:hAnsi="Cambria Math"/>
                <w:lang w:eastAsia="en-US"/>
              </w:rPr>
              <m:t>п</m:t>
            </m:r>
          </m:sub>
          <m:sup>
            <m:r>
              <w:rPr>
                <w:rFonts w:ascii="Cambria Math" w:hAnsi="Cambria Math"/>
                <w:lang w:eastAsia="en-US"/>
              </w:rPr>
              <m:t>re</m:t>
            </m:r>
          </m:sup>
        </m:sSubSup>
      </m:oMath>
      <w:r w:rsidR="00CD3F38" w:rsidRPr="00B35439">
        <w:rPr>
          <w:lang w:eastAsia="en-US"/>
        </w:rPr>
        <w:t xml:space="preserve"> – права вимоги до перестраховиків у резерві заявлених, але не виплачених збитків, на кінець та початок розрахункового періоду 2 відповідно;</w:t>
      </w:r>
    </w:p>
    <w:p w14:paraId="788F9355" w14:textId="77777777" w:rsidR="00CD3F38" w:rsidRPr="00B35439" w:rsidRDefault="00AD09A2" w:rsidP="00CD3F38">
      <w:pPr>
        <w:widowControl w:val="0"/>
        <w:ind w:firstLine="709"/>
        <w:rPr>
          <w:lang w:eastAsia="en-US"/>
        </w:rPr>
      </w:pPr>
      <m:oMath>
        <m:sSubSup>
          <m:sSubSupPr>
            <m:ctrlPr>
              <w:rPr>
                <w:rFonts w:ascii="Cambria Math" w:hAnsi="Cambria Math"/>
                <w:lang w:eastAsia="en-US"/>
              </w:rPr>
            </m:ctrlPr>
          </m:sSubSupPr>
          <m:e>
            <m:r>
              <m:rPr>
                <m:sty m:val="p"/>
              </m:rPr>
              <w:rPr>
                <w:rFonts w:ascii="Cambria Math" w:hAnsi="Cambria Math"/>
                <w:lang w:eastAsia="en-US"/>
              </w:rPr>
              <m:t>IBNR</m:t>
            </m:r>
          </m:e>
          <m:sub>
            <m:r>
              <w:rPr>
                <w:rFonts w:ascii="Cambria Math" w:hAnsi="Cambria Math"/>
                <w:lang w:eastAsia="en-US"/>
              </w:rPr>
              <m:t>к</m:t>
            </m:r>
          </m:sub>
          <m:sup>
            <m:r>
              <w:rPr>
                <w:rFonts w:ascii="Cambria Math" w:hAnsi="Cambria Math"/>
                <w:lang w:eastAsia="en-US"/>
              </w:rPr>
              <m:t>re</m:t>
            </m:r>
          </m:sup>
        </m:sSubSup>
        <m:r>
          <m:rPr>
            <m:sty m:val="p"/>
          </m:rPr>
          <w:rPr>
            <w:rFonts w:ascii="Cambria Math" w:hAnsi="Cambria Math"/>
            <w:lang w:eastAsia="en-US"/>
          </w:rPr>
          <m:t>,</m:t>
        </m:r>
        <m:sSubSup>
          <m:sSubSupPr>
            <m:ctrlPr>
              <w:rPr>
                <w:rFonts w:ascii="Cambria Math" w:hAnsi="Cambria Math"/>
                <w:lang w:eastAsia="en-US"/>
              </w:rPr>
            </m:ctrlPr>
          </m:sSubSupPr>
          <m:e>
            <m:r>
              <m:rPr>
                <m:sty m:val="p"/>
              </m:rPr>
              <w:rPr>
                <w:rFonts w:ascii="Cambria Math" w:hAnsi="Cambria Math"/>
                <w:lang w:eastAsia="en-US"/>
              </w:rPr>
              <m:t>IBNR</m:t>
            </m:r>
          </m:e>
          <m:sub>
            <m:r>
              <w:rPr>
                <w:rFonts w:ascii="Cambria Math" w:hAnsi="Cambria Math"/>
                <w:lang w:eastAsia="en-US"/>
              </w:rPr>
              <m:t>п</m:t>
            </m:r>
          </m:sub>
          <m:sup>
            <m:r>
              <w:rPr>
                <w:rFonts w:ascii="Cambria Math" w:hAnsi="Cambria Math"/>
                <w:lang w:eastAsia="en-US"/>
              </w:rPr>
              <m:t>re</m:t>
            </m:r>
          </m:sup>
        </m:sSubSup>
      </m:oMath>
      <w:r w:rsidR="00CD3F38" w:rsidRPr="00B35439">
        <w:rPr>
          <w:lang w:eastAsia="en-US"/>
        </w:rPr>
        <w:t xml:space="preserve"> – права вимоги до </w:t>
      </w:r>
      <w:proofErr w:type="spellStart"/>
      <w:r w:rsidR="00CD3F38" w:rsidRPr="00B35439">
        <w:rPr>
          <w:lang w:eastAsia="en-US"/>
        </w:rPr>
        <w:t>перестраховиків</w:t>
      </w:r>
      <w:proofErr w:type="spellEnd"/>
      <w:r w:rsidR="00CD3F38" w:rsidRPr="00B35439">
        <w:rPr>
          <w:lang w:eastAsia="en-US"/>
        </w:rPr>
        <w:t xml:space="preserve"> у резерві збитків, які виникли, але не заявлені, на кінець та початок розрахункового періоду 2 відповідно;</w:t>
      </w:r>
    </w:p>
    <w:p w14:paraId="37140FC7" w14:textId="77777777" w:rsidR="00CD3F38" w:rsidRPr="00B35439" w:rsidRDefault="00AD09A2" w:rsidP="00CD3F38">
      <w:pPr>
        <w:widowControl w:val="0"/>
        <w:ind w:firstLine="709"/>
        <w:rPr>
          <w:lang w:eastAsia="en-US"/>
        </w:rPr>
      </w:pPr>
      <m:oMath>
        <m:sSup>
          <m:sSupPr>
            <m:ctrlPr>
              <w:rPr>
                <w:rFonts w:ascii="Cambria Math" w:hAnsi="Cambria Math"/>
                <w:i/>
                <w:lang w:eastAsia="en-US"/>
              </w:rPr>
            </m:ctrlPr>
          </m:sSupPr>
          <m:e>
            <m:r>
              <w:rPr>
                <w:rFonts w:ascii="Cambria Math" w:hAnsi="Cambria Math"/>
                <w:lang w:eastAsia="en-US"/>
              </w:rPr>
              <m:t>ВВ</m:t>
            </m:r>
          </m:e>
          <m:sup>
            <m:r>
              <w:rPr>
                <w:rFonts w:ascii="Cambria Math" w:hAnsi="Cambria Math"/>
                <w:lang w:eastAsia="en-US"/>
              </w:rPr>
              <m:t>re</m:t>
            </m:r>
          </m:sup>
        </m:sSup>
      </m:oMath>
      <w:r w:rsidR="00CD3F38" w:rsidRPr="00B35439">
        <w:rPr>
          <w:lang w:eastAsia="en-US"/>
        </w:rPr>
        <w:t xml:space="preserve"> – частки витрат на врегулювання збитків, нараховані до отримання від перестраховиків у розрахунковому періоді 2;</w:t>
      </w:r>
    </w:p>
    <w:p w14:paraId="17AE0E5A" w14:textId="77777777" w:rsidR="00CD3F38" w:rsidRPr="00B35439" w:rsidRDefault="00CD3F38" w:rsidP="00CD3F38">
      <w:pPr>
        <w:widowControl w:val="0"/>
        <w:tabs>
          <w:tab w:val="left" w:pos="1758"/>
        </w:tabs>
        <w:ind w:firstLine="709"/>
        <w:rPr>
          <w:lang w:eastAsia="en-US"/>
        </w:rPr>
      </w:pPr>
    </w:p>
    <w:p w14:paraId="0B6949FF" w14:textId="1443DCF5" w:rsidR="00CD3F38" w:rsidRPr="00B35439" w:rsidRDefault="00AD09A2" w:rsidP="00CD3F38">
      <w:pPr>
        <w:widowControl w:val="0"/>
        <w:numPr>
          <w:ilvl w:val="0"/>
          <w:numId w:val="14"/>
        </w:numPr>
        <w:tabs>
          <w:tab w:val="left" w:pos="1134"/>
        </w:tabs>
        <w:ind w:left="0" w:firstLine="709"/>
        <w:contextualSpacing/>
        <w:rPr>
          <w:lang w:eastAsia="en-US"/>
        </w:rPr>
      </w:pPr>
      <m:oMath>
        <m:sSup>
          <m:sSupPr>
            <m:ctrlPr>
              <w:rPr>
                <w:rFonts w:ascii="Cambria Math" w:eastAsia="Calibri" w:hAnsi="Cambria Math"/>
                <w:lang w:eastAsia="en-US"/>
              </w:rPr>
            </m:ctrlPr>
          </m:sSupPr>
          <m:e>
            <m:r>
              <m:rPr>
                <m:sty m:val="p"/>
              </m:rPr>
              <w:rPr>
                <w:rFonts w:ascii="Cambria Math" w:eastAsia="Calibri" w:hAnsi="Cambria Math"/>
                <w:lang w:eastAsia="en-US"/>
              </w:rPr>
              <m:t>НЗП</m:t>
            </m:r>
          </m:e>
          <m:sup>
            <m:r>
              <w:rPr>
                <w:rFonts w:ascii="Cambria Math" w:eastAsia="Calibri" w:hAnsi="Cambria Math"/>
                <w:lang w:eastAsia="en-US"/>
              </w:rPr>
              <m:t>СВ</m:t>
            </m:r>
          </m:sup>
        </m:sSup>
      </m:oMath>
      <w:r w:rsidR="00CD3F38" w:rsidRPr="00B35439">
        <w:rPr>
          <w:lang w:eastAsia="en-US"/>
        </w:rPr>
        <w:t xml:space="preserve"> – розрахункова величина, яка визначається </w:t>
      </w:r>
      <w:r w:rsidR="00100246">
        <w:rPr>
          <w:rFonts w:eastAsiaTheme="majorEastAsia"/>
          <w:lang w:eastAsia="en-US"/>
        </w:rPr>
        <w:t>за такою формулою</w:t>
      </w:r>
      <w:r w:rsidR="00CD3F38" w:rsidRPr="00B35439">
        <w:rPr>
          <w:lang w:eastAsia="en-US"/>
        </w:rPr>
        <w:t>:</w:t>
      </w:r>
    </w:p>
    <w:p w14:paraId="6148710F" w14:textId="77777777" w:rsidR="00CD3F38" w:rsidRPr="00B35439" w:rsidRDefault="00CD3F38" w:rsidP="00CD3F38">
      <w:pPr>
        <w:widowControl w:val="0"/>
        <w:ind w:firstLine="709"/>
        <w:rPr>
          <w:lang w:eastAsia="en-US"/>
        </w:rPr>
      </w:pPr>
    </w:p>
    <w:p w14:paraId="332639D8" w14:textId="77777777" w:rsidR="00CD3F38" w:rsidRPr="00B35439" w:rsidRDefault="00AD09A2" w:rsidP="00CD3F38">
      <w:pPr>
        <w:widowControl w:val="0"/>
        <w:ind w:firstLine="709"/>
        <w:jc w:val="center"/>
        <w:rPr>
          <w:lang w:eastAsia="en-US"/>
        </w:rPr>
      </w:pPr>
      <m:oMath>
        <m:sSup>
          <m:sSupPr>
            <m:ctrlPr>
              <w:rPr>
                <w:rFonts w:ascii="Cambria Math" w:eastAsia="Calibri" w:hAnsi="Cambria Math"/>
                <w:lang w:eastAsia="en-US"/>
              </w:rPr>
            </m:ctrlPr>
          </m:sSupPr>
          <m:e>
            <m:r>
              <m:rPr>
                <m:sty m:val="p"/>
              </m:rPr>
              <w:rPr>
                <w:rFonts w:ascii="Cambria Math" w:eastAsia="Calibri" w:hAnsi="Cambria Math"/>
                <w:lang w:eastAsia="en-US"/>
              </w:rPr>
              <m:t>НЗП</m:t>
            </m:r>
          </m:e>
          <m:sup>
            <m:r>
              <w:rPr>
                <w:rFonts w:ascii="Cambria Math" w:eastAsia="Calibri" w:hAnsi="Cambria Math"/>
                <w:lang w:eastAsia="en-US"/>
              </w:rPr>
              <m:t>СВ</m:t>
            </m:r>
          </m:sup>
        </m:sSup>
        <m:r>
          <m:rPr>
            <m:sty m:val="p"/>
          </m:rPr>
          <w:rPr>
            <w:rFonts w:ascii="Cambria Math" w:hAnsi="Cambria Math"/>
            <w:lang w:eastAsia="en-US"/>
          </w:rPr>
          <m:t>=</m:t>
        </m:r>
        <m:d>
          <m:dPr>
            <m:ctrlPr>
              <w:rPr>
                <w:rFonts w:ascii="Cambria Math" w:hAnsi="Cambria Math"/>
                <w:lang w:eastAsia="en-US"/>
              </w:rPr>
            </m:ctrlPr>
          </m:dPr>
          <m:e>
            <m:sSubSup>
              <m:sSubSupPr>
                <m:ctrlPr>
                  <w:rPr>
                    <w:rFonts w:ascii="Cambria Math" w:hAnsi="Cambria Math"/>
                    <w:lang w:eastAsia="en-US"/>
                  </w:rPr>
                </m:ctrlPr>
              </m:sSubSupPr>
              <m:e>
                <m:r>
                  <m:rPr>
                    <m:sty m:val="p"/>
                  </m:rPr>
                  <w:rPr>
                    <w:rFonts w:ascii="Cambria Math" w:hAnsi="Cambria Math"/>
                    <w:lang w:eastAsia="en-US"/>
                  </w:rPr>
                  <m:t>ЗБ</m:t>
                </m:r>
              </m:e>
              <m:sub>
                <m:r>
                  <w:rPr>
                    <w:rFonts w:ascii="Cambria Math" w:hAnsi="Cambria Math"/>
                    <w:lang w:eastAsia="en-US"/>
                  </w:rPr>
                  <m:t>сер</m:t>
                </m:r>
              </m:sub>
              <m:sup>
                <m:r>
                  <w:rPr>
                    <w:rFonts w:ascii="Cambria Math" w:hAnsi="Cambria Math"/>
                    <w:lang w:eastAsia="en-US"/>
                  </w:rPr>
                  <m:t>ч1</m:t>
                </m:r>
              </m:sup>
            </m:sSubSup>
            <m:r>
              <m:rPr>
                <m:sty m:val="p"/>
              </m:rPr>
              <w:rPr>
                <w:rFonts w:ascii="Cambria Math" w:hAnsi="Cambria Math"/>
                <w:lang w:eastAsia="en-US"/>
              </w:rPr>
              <m:t>∙0,26+</m:t>
            </m:r>
            <m:sSubSup>
              <m:sSubSupPr>
                <m:ctrlPr>
                  <w:rPr>
                    <w:rFonts w:ascii="Cambria Math" w:hAnsi="Cambria Math"/>
                    <w:lang w:eastAsia="en-US"/>
                  </w:rPr>
                </m:ctrlPr>
              </m:sSubSupPr>
              <m:e>
                <m:r>
                  <m:rPr>
                    <m:sty m:val="p"/>
                  </m:rPr>
                  <w:rPr>
                    <w:rFonts w:ascii="Cambria Math" w:hAnsi="Cambria Math"/>
                    <w:lang w:eastAsia="en-US"/>
                  </w:rPr>
                  <m:t>ЗБ</m:t>
                </m:r>
              </m:e>
              <m:sub>
                <m:r>
                  <w:rPr>
                    <w:rFonts w:ascii="Cambria Math" w:hAnsi="Cambria Math"/>
                    <w:lang w:eastAsia="en-US"/>
                  </w:rPr>
                  <m:t>сер</m:t>
                </m:r>
              </m:sub>
              <m:sup>
                <m:r>
                  <w:rPr>
                    <w:rFonts w:ascii="Cambria Math" w:hAnsi="Cambria Math"/>
                    <w:lang w:eastAsia="en-US"/>
                  </w:rPr>
                  <m:t>ч2</m:t>
                </m:r>
              </m:sup>
            </m:sSubSup>
            <m:r>
              <m:rPr>
                <m:sty m:val="p"/>
              </m:rPr>
              <w:rPr>
                <w:rFonts w:ascii="Cambria Math" w:hAnsi="Cambria Math"/>
                <w:lang w:eastAsia="en-US"/>
              </w:rPr>
              <m:t>∙0,23</m:t>
            </m:r>
          </m:e>
        </m:d>
        <m:r>
          <m:rPr>
            <m:sty m:val="p"/>
          </m:rPr>
          <w:rPr>
            <w:rFonts w:ascii="Cambria Math" w:hAnsi="Cambria Math"/>
            <w:lang w:eastAsia="en-US"/>
          </w:rPr>
          <m:t>∙</m:t>
        </m:r>
        <m:sSub>
          <m:sSubPr>
            <m:ctrlPr>
              <w:rPr>
                <w:rFonts w:ascii="Cambria Math" w:hAnsi="Cambria Math"/>
                <w:lang w:eastAsia="en-US"/>
              </w:rPr>
            </m:ctrlPr>
          </m:sSubPr>
          <m:e>
            <m:r>
              <m:rPr>
                <m:sty m:val="p"/>
              </m:rPr>
              <w:rPr>
                <w:rFonts w:ascii="Cambria Math" w:hAnsi="Cambria Math"/>
                <w:lang w:eastAsia="en-US"/>
              </w:rPr>
              <m:t>k</m:t>
            </m:r>
          </m:e>
          <m:sub>
            <m:r>
              <m:rPr>
                <m:sty m:val="p"/>
              </m:rPr>
              <w:rPr>
                <w:rFonts w:ascii="Cambria Math" w:hAnsi="Cambria Math"/>
                <w:lang w:eastAsia="en-US"/>
              </w:rPr>
              <m:t>re</m:t>
            </m:r>
          </m:sub>
        </m:sSub>
      </m:oMath>
      <w:r w:rsidR="00CD3F38" w:rsidRPr="00B35439">
        <w:rPr>
          <w:lang w:eastAsia="en-US"/>
        </w:rPr>
        <w:t>,</w:t>
      </w:r>
    </w:p>
    <w:p w14:paraId="5C85F4CD" w14:textId="77777777" w:rsidR="00CD3F38" w:rsidRPr="00B35439" w:rsidRDefault="00CD3F38" w:rsidP="00CD3F38">
      <w:pPr>
        <w:widowControl w:val="0"/>
        <w:ind w:firstLine="709"/>
        <w:rPr>
          <w:lang w:eastAsia="en-US"/>
        </w:rPr>
      </w:pPr>
    </w:p>
    <w:p w14:paraId="1A0D3471" w14:textId="77777777" w:rsidR="00CD3F38" w:rsidRPr="00B35439" w:rsidRDefault="00CD3F38" w:rsidP="00CD3F38">
      <w:pPr>
        <w:widowControl w:val="0"/>
        <w:ind w:firstLine="709"/>
        <w:rPr>
          <w:lang w:eastAsia="en-US"/>
        </w:rPr>
      </w:pPr>
      <w:r w:rsidRPr="00B35439">
        <w:rPr>
          <w:lang w:eastAsia="en-US"/>
        </w:rPr>
        <w:t xml:space="preserve">де </w:t>
      </w:r>
      <m:oMath>
        <m:sSubSup>
          <m:sSubSupPr>
            <m:ctrlPr>
              <w:rPr>
                <w:rFonts w:ascii="Cambria Math" w:hAnsi="Cambria Math"/>
                <w:lang w:eastAsia="en-US"/>
              </w:rPr>
            </m:ctrlPr>
          </m:sSubSupPr>
          <m:e>
            <m:r>
              <m:rPr>
                <m:sty m:val="p"/>
              </m:rPr>
              <w:rPr>
                <w:rFonts w:ascii="Cambria Math" w:hAnsi="Cambria Math"/>
                <w:lang w:eastAsia="en-US"/>
              </w:rPr>
              <m:t>ЗБ</m:t>
            </m:r>
          </m:e>
          <m:sub>
            <m:r>
              <w:rPr>
                <w:rFonts w:ascii="Cambria Math" w:hAnsi="Cambria Math"/>
                <w:lang w:eastAsia="en-US"/>
              </w:rPr>
              <m:t>сер</m:t>
            </m:r>
          </m:sub>
          <m:sup>
            <m:r>
              <w:rPr>
                <w:rFonts w:ascii="Cambria Math" w:hAnsi="Cambria Math"/>
                <w:lang w:eastAsia="en-US"/>
              </w:rPr>
              <m:t>ч1</m:t>
            </m:r>
          </m:sup>
        </m:sSubSup>
      </m:oMath>
      <w:r w:rsidRPr="00B35439">
        <w:rPr>
          <w:lang w:eastAsia="en-US"/>
        </w:rPr>
        <w:t xml:space="preserve"> – частина </w:t>
      </w:r>
      <m:oMath>
        <m:sSub>
          <m:sSubPr>
            <m:ctrlPr>
              <w:rPr>
                <w:rFonts w:ascii="Cambria Math" w:eastAsia="Calibri" w:hAnsi="Cambria Math"/>
                <w:lang w:eastAsia="en-US"/>
              </w:rPr>
            </m:ctrlPr>
          </m:sSubPr>
          <m:e>
            <m:r>
              <w:rPr>
                <w:rFonts w:ascii="Cambria Math" w:eastAsia="Calibri" w:hAnsi="Cambria Math"/>
                <w:lang w:eastAsia="en-US"/>
              </w:rPr>
              <m:t>ЗБ</m:t>
            </m:r>
          </m:e>
          <m:sub>
            <m:r>
              <m:rPr>
                <m:sty m:val="p"/>
              </m:rPr>
              <w:rPr>
                <w:rFonts w:ascii="Cambria Math" w:eastAsia="Calibri" w:hAnsi="Cambria Math"/>
                <w:lang w:eastAsia="en-US"/>
              </w:rPr>
              <m:t>сер</m:t>
            </m:r>
          </m:sub>
        </m:sSub>
      </m:oMath>
      <w:r w:rsidRPr="00B35439">
        <w:rPr>
          <w:lang w:eastAsia="en-US"/>
        </w:rPr>
        <w:t>, що не перевищує 300 млн грн;</w:t>
      </w:r>
    </w:p>
    <w:p w14:paraId="07A18FF9" w14:textId="77777777" w:rsidR="00CD3F38" w:rsidRPr="00B35439" w:rsidRDefault="00AD09A2" w:rsidP="00CD3F38">
      <w:pPr>
        <w:widowControl w:val="0"/>
        <w:ind w:firstLine="709"/>
        <w:rPr>
          <w:lang w:eastAsia="en-US"/>
        </w:rPr>
      </w:pPr>
      <m:oMath>
        <m:sSubSup>
          <m:sSubSupPr>
            <m:ctrlPr>
              <w:rPr>
                <w:rFonts w:ascii="Cambria Math" w:hAnsi="Cambria Math"/>
                <w:lang w:eastAsia="en-US"/>
              </w:rPr>
            </m:ctrlPr>
          </m:sSubSupPr>
          <m:e>
            <m:r>
              <m:rPr>
                <m:sty m:val="p"/>
              </m:rPr>
              <w:rPr>
                <w:rFonts w:ascii="Cambria Math" w:hAnsi="Cambria Math"/>
                <w:lang w:eastAsia="en-US"/>
              </w:rPr>
              <m:t>ЗБ</m:t>
            </m:r>
          </m:e>
          <m:sub>
            <m:r>
              <w:rPr>
                <w:rFonts w:ascii="Cambria Math" w:hAnsi="Cambria Math"/>
                <w:lang w:eastAsia="en-US"/>
              </w:rPr>
              <m:t>сер</m:t>
            </m:r>
          </m:sub>
          <m:sup>
            <m:r>
              <w:rPr>
                <w:rFonts w:ascii="Cambria Math" w:hAnsi="Cambria Math"/>
                <w:lang w:eastAsia="en-US"/>
              </w:rPr>
              <m:t>ч2</m:t>
            </m:r>
          </m:sup>
        </m:sSubSup>
      </m:oMath>
      <w:r w:rsidR="00CD3F38" w:rsidRPr="00B35439">
        <w:rPr>
          <w:lang w:eastAsia="en-US"/>
        </w:rPr>
        <w:t xml:space="preserve"> – частина </w:t>
      </w:r>
      <m:oMath>
        <m:sSub>
          <m:sSubPr>
            <m:ctrlPr>
              <w:rPr>
                <w:rFonts w:ascii="Cambria Math" w:eastAsia="Calibri" w:hAnsi="Cambria Math"/>
                <w:lang w:eastAsia="en-US"/>
              </w:rPr>
            </m:ctrlPr>
          </m:sSubPr>
          <m:e>
            <m:r>
              <w:rPr>
                <w:rFonts w:ascii="Cambria Math" w:eastAsia="Calibri" w:hAnsi="Cambria Math"/>
                <w:lang w:eastAsia="en-US"/>
              </w:rPr>
              <m:t>ЗБ</m:t>
            </m:r>
          </m:e>
          <m:sub>
            <m:r>
              <m:rPr>
                <m:sty m:val="p"/>
              </m:rPr>
              <w:rPr>
                <w:rFonts w:ascii="Cambria Math" w:eastAsia="Calibri" w:hAnsi="Cambria Math"/>
                <w:lang w:eastAsia="en-US"/>
              </w:rPr>
              <m:t>сер</m:t>
            </m:r>
          </m:sub>
        </m:sSub>
      </m:oMath>
      <w:r w:rsidR="00CD3F38" w:rsidRPr="00B35439">
        <w:rPr>
          <w:lang w:eastAsia="en-US"/>
        </w:rPr>
        <w:t xml:space="preserve">, що перевищує 300 млн грн. Якщо </w:t>
      </w:r>
      <m:oMath>
        <m:sSub>
          <m:sSubPr>
            <m:ctrlPr>
              <w:rPr>
                <w:rFonts w:ascii="Cambria Math" w:eastAsia="Calibri" w:hAnsi="Cambria Math"/>
                <w:lang w:eastAsia="en-US"/>
              </w:rPr>
            </m:ctrlPr>
          </m:sSubPr>
          <m:e>
            <m:r>
              <w:rPr>
                <w:rFonts w:ascii="Cambria Math" w:eastAsia="Calibri" w:hAnsi="Cambria Math"/>
                <w:lang w:eastAsia="en-US"/>
              </w:rPr>
              <m:t>ЗБ</m:t>
            </m:r>
          </m:e>
          <m:sub>
            <m:r>
              <m:rPr>
                <m:sty m:val="p"/>
              </m:rPr>
              <w:rPr>
                <w:rFonts w:ascii="Cambria Math" w:eastAsia="Calibri" w:hAnsi="Cambria Math"/>
                <w:lang w:eastAsia="en-US"/>
              </w:rPr>
              <m:t>сер</m:t>
            </m:r>
          </m:sub>
        </m:sSub>
      </m:oMath>
      <w:r w:rsidR="00CD3F38" w:rsidRPr="00B35439">
        <w:rPr>
          <w:lang w:eastAsia="en-US"/>
        </w:rPr>
        <w:t xml:space="preserve"> не перевищує 300 млн грн, </w:t>
      </w:r>
      <m:oMath>
        <m:sSubSup>
          <m:sSubSupPr>
            <m:ctrlPr>
              <w:rPr>
                <w:rFonts w:ascii="Cambria Math" w:hAnsi="Cambria Math"/>
                <w:lang w:eastAsia="en-US"/>
              </w:rPr>
            </m:ctrlPr>
          </m:sSubSupPr>
          <m:e>
            <m:r>
              <m:rPr>
                <m:sty m:val="p"/>
              </m:rPr>
              <w:rPr>
                <w:rFonts w:ascii="Cambria Math" w:hAnsi="Cambria Math"/>
                <w:lang w:eastAsia="en-US"/>
              </w:rPr>
              <m:t>ЗБ</m:t>
            </m:r>
          </m:e>
          <m:sub>
            <m:r>
              <w:rPr>
                <w:rFonts w:ascii="Cambria Math" w:hAnsi="Cambria Math"/>
                <w:lang w:eastAsia="en-US"/>
              </w:rPr>
              <m:t>сер</m:t>
            </m:r>
          </m:sub>
          <m:sup>
            <m:r>
              <w:rPr>
                <w:rFonts w:ascii="Cambria Math" w:hAnsi="Cambria Math"/>
                <w:lang w:eastAsia="en-US"/>
              </w:rPr>
              <m:t>ч2</m:t>
            </m:r>
          </m:sup>
        </m:sSubSup>
      </m:oMath>
      <w:r w:rsidR="00CD3F38" w:rsidRPr="00B35439">
        <w:rPr>
          <w:lang w:eastAsia="en-US"/>
        </w:rPr>
        <w:t xml:space="preserve"> дорівнює нулю;</w:t>
      </w:r>
    </w:p>
    <w:p w14:paraId="5C1CEA6B" w14:textId="31FCA080" w:rsidR="00CD3F38" w:rsidRPr="00B35439" w:rsidRDefault="00AD09A2" w:rsidP="00CD3F38">
      <w:pPr>
        <w:widowControl w:val="0"/>
        <w:ind w:firstLine="709"/>
        <w:rPr>
          <w:lang w:eastAsia="en-US"/>
        </w:rPr>
      </w:pPr>
      <m:oMath>
        <m:sSub>
          <m:sSubPr>
            <m:ctrlPr>
              <w:rPr>
                <w:rFonts w:ascii="Cambria Math" w:eastAsia="Calibri" w:hAnsi="Cambria Math"/>
                <w:lang w:eastAsia="en-US"/>
              </w:rPr>
            </m:ctrlPr>
          </m:sSubPr>
          <m:e>
            <m:r>
              <w:rPr>
                <w:rFonts w:ascii="Cambria Math" w:eastAsia="Calibri" w:hAnsi="Cambria Math"/>
                <w:lang w:eastAsia="en-US"/>
              </w:rPr>
              <m:t>ЗБ</m:t>
            </m:r>
          </m:e>
          <m:sub>
            <m:r>
              <m:rPr>
                <m:sty m:val="p"/>
              </m:rPr>
              <w:rPr>
                <w:rFonts w:ascii="Cambria Math" w:eastAsia="Calibri" w:hAnsi="Cambria Math"/>
                <w:lang w:eastAsia="en-US"/>
              </w:rPr>
              <m:t>сер</m:t>
            </m:r>
          </m:sub>
        </m:sSub>
      </m:oMath>
      <w:r w:rsidR="00CD3F38" w:rsidRPr="00B35439">
        <w:rPr>
          <w:rFonts w:eastAsia="Calibri"/>
          <w:lang w:eastAsia="en-US"/>
        </w:rPr>
        <w:t xml:space="preserve"> – </w:t>
      </w:r>
      <w:r w:rsidR="00CD3F38" w:rsidRPr="00B35439">
        <w:rPr>
          <w:lang w:eastAsia="en-US"/>
        </w:rPr>
        <w:t xml:space="preserve">розрахункова величина, яка визначається </w:t>
      </w:r>
      <w:r w:rsidR="00100246">
        <w:rPr>
          <w:rFonts w:eastAsiaTheme="majorEastAsia"/>
          <w:lang w:eastAsia="en-US"/>
        </w:rPr>
        <w:t>за такою формулою</w:t>
      </w:r>
      <w:r w:rsidR="00CD3F38" w:rsidRPr="00B35439">
        <w:rPr>
          <w:lang w:eastAsia="en-US"/>
        </w:rPr>
        <w:t>:</w:t>
      </w:r>
    </w:p>
    <w:p w14:paraId="5C59F618" w14:textId="77777777" w:rsidR="00CD3F38" w:rsidRPr="00B35439" w:rsidRDefault="00CD3F38" w:rsidP="00CD3F38">
      <w:pPr>
        <w:widowControl w:val="0"/>
        <w:ind w:firstLine="709"/>
        <w:rPr>
          <w:lang w:eastAsia="en-US"/>
        </w:rPr>
      </w:pPr>
    </w:p>
    <w:p w14:paraId="0242CDCA" w14:textId="77777777" w:rsidR="00CD3F38" w:rsidRPr="00B35439" w:rsidRDefault="00AD09A2" w:rsidP="00CD3F38">
      <w:pPr>
        <w:widowControl w:val="0"/>
        <w:ind w:firstLine="709"/>
        <w:rPr>
          <w:lang w:eastAsia="en-US"/>
        </w:rPr>
      </w:pPr>
      <m:oMathPara>
        <m:oMath>
          <m:sSub>
            <m:sSubPr>
              <m:ctrlPr>
                <w:rPr>
                  <w:rFonts w:ascii="Cambria Math" w:eastAsia="Calibri" w:hAnsi="Cambria Math"/>
                  <w:lang w:eastAsia="en-US"/>
                </w:rPr>
              </m:ctrlPr>
            </m:sSubPr>
            <m:e>
              <m:r>
                <w:rPr>
                  <w:rFonts w:ascii="Cambria Math" w:eastAsia="Calibri" w:hAnsi="Cambria Math"/>
                  <w:lang w:eastAsia="en-US"/>
                </w:rPr>
                <m:t>ЗБ</m:t>
              </m:r>
            </m:e>
            <m:sub>
              <m:r>
                <m:rPr>
                  <m:sty m:val="p"/>
                </m:rPr>
                <w:rPr>
                  <w:rFonts w:ascii="Cambria Math" w:eastAsia="Calibri" w:hAnsi="Cambria Math"/>
                  <w:lang w:eastAsia="en-US"/>
                </w:rPr>
                <m:t>сер</m:t>
              </m:r>
            </m:sub>
          </m:sSub>
          <m:r>
            <w:rPr>
              <w:rFonts w:ascii="Cambria Math" w:hAnsi="Cambria Math"/>
              <w:lang w:eastAsia="en-US"/>
            </w:rPr>
            <m:t>=</m:t>
          </m:r>
          <m:f>
            <m:fPr>
              <m:ctrlPr>
                <w:rPr>
                  <w:rFonts w:ascii="Cambria Math" w:hAnsi="Cambria Math"/>
                  <w:i/>
                  <w:lang w:eastAsia="en-US"/>
                </w:rPr>
              </m:ctrlPr>
            </m:fPr>
            <m:num>
              <m:sSubSup>
                <m:sSubSupPr>
                  <m:ctrlPr>
                    <w:rPr>
                      <w:rFonts w:ascii="Cambria Math" w:hAnsi="Cambria Math"/>
                      <w:i/>
                      <w:lang w:eastAsia="en-US"/>
                    </w:rPr>
                  </m:ctrlPr>
                </m:sSubSupPr>
                <m:e>
                  <m:r>
                    <w:rPr>
                      <w:rFonts w:ascii="Cambria Math" w:hAnsi="Cambria Math"/>
                      <w:lang w:eastAsia="en-US"/>
                    </w:rPr>
                    <m:t>ЗБ</m:t>
                  </m:r>
                </m:e>
                <m:sub>
                  <m:r>
                    <w:rPr>
                      <w:rFonts w:ascii="Cambria Math" w:hAnsi="Cambria Math"/>
                      <w:lang w:eastAsia="en-US"/>
                    </w:rPr>
                    <m:t>брутто</m:t>
                  </m:r>
                </m:sub>
                <m:sup>
                  <m:r>
                    <w:rPr>
                      <w:rFonts w:ascii="Cambria Math" w:hAnsi="Cambria Math"/>
                      <w:lang w:eastAsia="en-US"/>
                    </w:rPr>
                    <m:t>в</m:t>
                  </m:r>
                </m:sup>
              </m:sSubSup>
              <m:r>
                <w:rPr>
                  <w:rFonts w:ascii="Cambria Math" w:hAnsi="Cambria Math"/>
                  <w:lang w:eastAsia="en-US"/>
                </w:rPr>
                <m:t>∙1,5+</m:t>
              </m:r>
              <m:sSubSup>
                <m:sSubSupPr>
                  <m:ctrlPr>
                    <w:rPr>
                      <w:rFonts w:ascii="Cambria Math" w:hAnsi="Cambria Math"/>
                      <w:i/>
                      <w:lang w:eastAsia="en-US"/>
                    </w:rPr>
                  </m:ctrlPr>
                </m:sSubSupPr>
                <m:e>
                  <m:r>
                    <w:rPr>
                      <w:rFonts w:ascii="Cambria Math" w:hAnsi="Cambria Math"/>
                      <w:lang w:eastAsia="en-US"/>
                    </w:rPr>
                    <m:t>ЗБ</m:t>
                  </m:r>
                </m:e>
                <m:sub>
                  <m:r>
                    <w:rPr>
                      <w:rFonts w:ascii="Cambria Math" w:hAnsi="Cambria Math"/>
                      <w:lang w:eastAsia="en-US"/>
                    </w:rPr>
                    <m:t>брутто</m:t>
                  </m:r>
                </m:sub>
                <m:sup>
                  <m:r>
                    <w:rPr>
                      <w:rFonts w:ascii="Cambria Math" w:hAnsi="Cambria Math"/>
                      <w:lang w:eastAsia="en-US"/>
                    </w:rPr>
                    <m:t>ін</m:t>
                  </m:r>
                </m:sup>
              </m:sSubSup>
            </m:num>
            <m:den>
              <m:r>
                <w:rPr>
                  <w:rFonts w:ascii="Cambria Math" w:hAnsi="Cambria Math"/>
                  <w:lang w:eastAsia="en-US"/>
                </w:rPr>
                <m:t>3</m:t>
              </m:r>
            </m:den>
          </m:f>
          <m:r>
            <w:rPr>
              <w:rFonts w:ascii="Cambria Math" w:hAnsi="Cambria Math"/>
              <w:lang w:eastAsia="en-US"/>
            </w:rPr>
            <m:t>,</m:t>
          </m:r>
        </m:oMath>
      </m:oMathPara>
    </w:p>
    <w:p w14:paraId="57DD7468" w14:textId="77777777" w:rsidR="00CD3F38" w:rsidRPr="00B35439" w:rsidRDefault="00CD3F38" w:rsidP="00CD3F38">
      <w:pPr>
        <w:widowControl w:val="0"/>
        <w:ind w:firstLine="709"/>
        <w:rPr>
          <w:lang w:eastAsia="en-US"/>
        </w:rPr>
      </w:pPr>
    </w:p>
    <w:p w14:paraId="65C79232" w14:textId="08138BCF" w:rsidR="00CD3F38" w:rsidRPr="00B35439" w:rsidRDefault="00CD3F38" w:rsidP="00CD3F38">
      <w:pPr>
        <w:widowControl w:val="0"/>
        <w:ind w:firstLine="709"/>
        <w:rPr>
          <w:lang w:eastAsia="en-US"/>
        </w:rPr>
      </w:pPr>
      <w:r w:rsidRPr="00B35439">
        <w:rPr>
          <w:rFonts w:eastAsia="Calibri"/>
          <w:lang w:eastAsia="en-US"/>
        </w:rPr>
        <w:t xml:space="preserve">де </w:t>
      </w:r>
      <m:oMath>
        <m:sSubSup>
          <m:sSubSupPr>
            <m:ctrlPr>
              <w:rPr>
                <w:rFonts w:ascii="Cambria Math" w:hAnsi="Cambria Math"/>
                <w:i/>
                <w:lang w:eastAsia="en-US"/>
              </w:rPr>
            </m:ctrlPr>
          </m:sSubSupPr>
          <m:e>
            <m:r>
              <w:rPr>
                <w:rFonts w:ascii="Cambria Math" w:hAnsi="Cambria Math"/>
                <w:lang w:eastAsia="en-US"/>
              </w:rPr>
              <m:t>ЗБ</m:t>
            </m:r>
          </m:e>
          <m:sub>
            <m:r>
              <w:rPr>
                <w:rFonts w:ascii="Cambria Math" w:hAnsi="Cambria Math"/>
                <w:lang w:eastAsia="en-US"/>
              </w:rPr>
              <m:t>брутто</m:t>
            </m:r>
          </m:sub>
          <m:sup>
            <m:r>
              <w:rPr>
                <w:rFonts w:ascii="Cambria Math" w:hAnsi="Cambria Math"/>
                <w:lang w:eastAsia="en-US"/>
              </w:rPr>
              <m:t>в</m:t>
            </m:r>
          </m:sup>
        </m:sSubSup>
        <m:r>
          <w:rPr>
            <w:rFonts w:ascii="Cambria Math" w:hAnsi="Cambria Math"/>
            <w:lang w:eastAsia="en-US"/>
          </w:rPr>
          <m:t xml:space="preserve">, </m:t>
        </m:r>
        <m:sSubSup>
          <m:sSubSupPr>
            <m:ctrlPr>
              <w:rPr>
                <w:rFonts w:ascii="Cambria Math" w:hAnsi="Cambria Math"/>
                <w:i/>
                <w:lang w:eastAsia="en-US"/>
              </w:rPr>
            </m:ctrlPr>
          </m:sSubSupPr>
          <m:e>
            <m:r>
              <w:rPr>
                <w:rFonts w:ascii="Cambria Math" w:hAnsi="Cambria Math"/>
                <w:lang w:eastAsia="en-US"/>
              </w:rPr>
              <m:t>ЗБ</m:t>
            </m:r>
          </m:e>
          <m:sub>
            <m:r>
              <w:rPr>
                <w:rFonts w:ascii="Cambria Math" w:hAnsi="Cambria Math"/>
                <w:lang w:eastAsia="en-US"/>
              </w:rPr>
              <m:t>брутто</m:t>
            </m:r>
          </m:sub>
          <m:sup>
            <m:r>
              <w:rPr>
                <w:rFonts w:ascii="Cambria Math" w:hAnsi="Cambria Math"/>
                <w:lang w:eastAsia="en-US"/>
              </w:rPr>
              <m:t>ін</m:t>
            </m:r>
          </m:sup>
        </m:sSubSup>
      </m:oMath>
      <w:r w:rsidRPr="00B35439">
        <w:rPr>
          <w:rFonts w:eastAsia="Calibri"/>
          <w:lang w:eastAsia="en-US"/>
        </w:rPr>
        <w:t xml:space="preserve"> – розмір збитків за </w:t>
      </w:r>
      <w:r w:rsidRPr="00B35439">
        <w:rPr>
          <w:lang w:eastAsia="en-US"/>
        </w:rPr>
        <w:t xml:space="preserve">видами страхування відповідальності та видами страхування іншими, ніж види страхування відповідальності, відповідно, що визначаються </w:t>
      </w:r>
      <w:r w:rsidR="00100246">
        <w:rPr>
          <w:rFonts w:eastAsiaTheme="majorEastAsia"/>
          <w:lang w:eastAsia="en-US"/>
        </w:rPr>
        <w:t>за такою формулою</w:t>
      </w:r>
      <w:r w:rsidRPr="00B35439">
        <w:rPr>
          <w:lang w:eastAsia="en-US"/>
        </w:rPr>
        <w:t>:</w:t>
      </w:r>
    </w:p>
    <w:p w14:paraId="344085E5" w14:textId="77777777" w:rsidR="00CD3F38" w:rsidRPr="00B35439" w:rsidRDefault="00CD3F38" w:rsidP="00CD3F38">
      <w:pPr>
        <w:widowControl w:val="0"/>
        <w:ind w:firstLine="709"/>
        <w:rPr>
          <w:rFonts w:eastAsia="Calibri"/>
          <w:lang w:eastAsia="en-US"/>
        </w:rPr>
      </w:pPr>
    </w:p>
    <w:p w14:paraId="2A5D7417" w14:textId="77777777" w:rsidR="00CD3F38" w:rsidRPr="00B35439" w:rsidRDefault="00AD09A2" w:rsidP="00CD3F38">
      <w:pPr>
        <w:widowControl w:val="0"/>
        <w:ind w:firstLine="709"/>
        <w:jc w:val="center"/>
        <w:rPr>
          <w:lang w:eastAsia="en-US"/>
        </w:rPr>
      </w:pPr>
      <m:oMathPara>
        <m:oMathParaPr>
          <m:jc m:val="center"/>
        </m:oMathParaPr>
        <m:oMath>
          <m:sSubSup>
            <m:sSubSupPr>
              <m:ctrlPr>
                <w:rPr>
                  <w:rFonts w:ascii="Cambria Math" w:hAnsi="Cambria Math"/>
                  <w:i/>
                  <w:lang w:eastAsia="en-US"/>
                </w:rPr>
              </m:ctrlPr>
            </m:sSubSupPr>
            <m:e>
              <m:r>
                <w:rPr>
                  <w:rFonts w:ascii="Cambria Math" w:hAnsi="Cambria Math"/>
                  <w:lang w:eastAsia="en-US"/>
                </w:rPr>
                <m:t>ЗБ</m:t>
              </m:r>
            </m:e>
            <m:sub>
              <m:r>
                <w:rPr>
                  <w:rFonts w:ascii="Cambria Math" w:hAnsi="Cambria Math"/>
                  <w:lang w:eastAsia="en-US"/>
                </w:rPr>
                <m:t>брутто</m:t>
              </m:r>
            </m:sub>
            <m:sup>
              <m:r>
                <w:rPr>
                  <w:rFonts w:ascii="Cambria Math" w:hAnsi="Cambria Math"/>
                  <w:lang w:eastAsia="en-US"/>
                </w:rPr>
                <m:t>в</m:t>
              </m:r>
            </m:sup>
          </m:sSubSup>
          <m:r>
            <m:rPr>
              <m:sty m:val="p"/>
            </m:rPr>
            <w:rPr>
              <w:rFonts w:ascii="Cambria Math" w:hAnsi="Cambria Math"/>
              <w:lang w:eastAsia="en-US"/>
            </w:rPr>
            <m:t>=</m:t>
          </m:r>
          <m:sSup>
            <m:sSupPr>
              <m:ctrlPr>
                <w:rPr>
                  <w:rFonts w:ascii="Cambria Math" w:hAnsi="Cambria Math"/>
                  <w:lang w:eastAsia="en-US"/>
                </w:rPr>
              </m:ctrlPr>
            </m:sSupPr>
            <m:e>
              <m:r>
                <m:rPr>
                  <m:sty m:val="p"/>
                </m:rPr>
                <w:rPr>
                  <w:rFonts w:ascii="Cambria Math" w:hAnsi="Cambria Math"/>
                  <w:lang w:eastAsia="en-US"/>
                </w:rPr>
                <m:t>СВ</m:t>
              </m:r>
            </m:e>
            <m:sup>
              <m:r>
                <w:rPr>
                  <w:rFonts w:ascii="Cambria Math" w:hAnsi="Cambria Math"/>
                  <w:lang w:eastAsia="en-US"/>
                </w:rPr>
                <m:t>в</m:t>
              </m:r>
            </m:sup>
          </m:sSup>
          <m:r>
            <m:rPr>
              <m:sty m:val="p"/>
            </m:rPr>
            <w:rPr>
              <w:rFonts w:ascii="Cambria Math" w:hAnsi="Cambria Math"/>
              <w:lang w:eastAsia="en-US"/>
            </w:rPr>
            <m:t>+(</m:t>
          </m:r>
          <m:sSubSup>
            <m:sSubSupPr>
              <m:ctrlPr>
                <w:rPr>
                  <w:rFonts w:ascii="Cambria Math" w:hAnsi="Cambria Math"/>
                  <w:lang w:eastAsia="en-US"/>
                </w:rPr>
              </m:ctrlPr>
            </m:sSubSupPr>
            <m:e>
              <m:r>
                <m:rPr>
                  <m:sty m:val="p"/>
                </m:rPr>
                <w:rPr>
                  <w:rFonts w:ascii="Cambria Math" w:hAnsi="Cambria Math"/>
                  <w:lang w:eastAsia="en-US"/>
                </w:rPr>
                <m:t>RBNS</m:t>
              </m:r>
            </m:e>
            <m:sub>
              <m:r>
                <w:rPr>
                  <w:rFonts w:ascii="Cambria Math" w:hAnsi="Cambria Math"/>
                  <w:lang w:eastAsia="en-US"/>
                </w:rPr>
                <m:t>к</m:t>
              </m:r>
            </m:sub>
            <m:sup>
              <m:r>
                <w:rPr>
                  <w:rFonts w:ascii="Cambria Math" w:hAnsi="Cambria Math"/>
                  <w:lang w:eastAsia="en-US"/>
                </w:rPr>
                <m:t>в</m:t>
              </m:r>
            </m:sup>
          </m:sSubSup>
          <m:r>
            <m:rPr>
              <m:sty m:val="p"/>
            </m:rPr>
            <w:rPr>
              <w:rFonts w:ascii="Cambria Math" w:hAnsi="Cambria Math"/>
              <w:lang w:eastAsia="en-US"/>
            </w:rPr>
            <m:t>-</m:t>
          </m:r>
          <m:sSubSup>
            <m:sSubSupPr>
              <m:ctrlPr>
                <w:rPr>
                  <w:rFonts w:ascii="Cambria Math" w:hAnsi="Cambria Math"/>
                  <w:lang w:eastAsia="en-US"/>
                </w:rPr>
              </m:ctrlPr>
            </m:sSubSupPr>
            <m:e>
              <m:r>
                <m:rPr>
                  <m:sty m:val="p"/>
                </m:rPr>
                <w:rPr>
                  <w:rFonts w:ascii="Cambria Math" w:hAnsi="Cambria Math"/>
                  <w:lang w:eastAsia="en-US"/>
                </w:rPr>
                <m:t>RBNS</m:t>
              </m:r>
            </m:e>
            <m:sub>
              <m:r>
                <w:rPr>
                  <w:rFonts w:ascii="Cambria Math" w:hAnsi="Cambria Math"/>
                  <w:lang w:eastAsia="en-US"/>
                </w:rPr>
                <m:t>п</m:t>
              </m:r>
            </m:sub>
            <m:sup>
              <m:r>
                <w:rPr>
                  <w:rFonts w:ascii="Cambria Math" w:hAnsi="Cambria Math"/>
                  <w:lang w:eastAsia="en-US"/>
                </w:rPr>
                <m:t>в</m:t>
              </m:r>
            </m:sup>
          </m:sSubSup>
          <m:r>
            <m:rPr>
              <m:sty m:val="p"/>
            </m:rPr>
            <w:rPr>
              <w:rFonts w:ascii="Cambria Math" w:hAnsi="Cambria Math"/>
              <w:lang w:eastAsia="en-US"/>
            </w:rPr>
            <m:t>)+(</m:t>
          </m:r>
          <m:sSubSup>
            <m:sSubSupPr>
              <m:ctrlPr>
                <w:rPr>
                  <w:rFonts w:ascii="Cambria Math" w:hAnsi="Cambria Math"/>
                  <w:lang w:eastAsia="en-US"/>
                </w:rPr>
              </m:ctrlPr>
            </m:sSubSupPr>
            <m:e>
              <m:r>
                <m:rPr>
                  <m:sty m:val="p"/>
                </m:rPr>
                <w:rPr>
                  <w:rFonts w:ascii="Cambria Math" w:hAnsi="Cambria Math"/>
                  <w:lang w:eastAsia="en-US"/>
                </w:rPr>
                <m:t>IBNR</m:t>
              </m:r>
            </m:e>
            <m:sub>
              <m:r>
                <w:rPr>
                  <w:rFonts w:ascii="Cambria Math" w:hAnsi="Cambria Math"/>
                  <w:lang w:eastAsia="en-US"/>
                </w:rPr>
                <m:t>к</m:t>
              </m:r>
            </m:sub>
            <m:sup>
              <m:r>
                <w:rPr>
                  <w:rFonts w:ascii="Cambria Math" w:hAnsi="Cambria Math"/>
                  <w:lang w:eastAsia="en-US"/>
                </w:rPr>
                <m:t>в</m:t>
              </m:r>
            </m:sup>
          </m:sSubSup>
          <m:r>
            <m:rPr>
              <m:sty m:val="p"/>
            </m:rPr>
            <w:rPr>
              <w:rFonts w:ascii="Cambria Math" w:hAnsi="Cambria Math"/>
              <w:lang w:eastAsia="en-US"/>
            </w:rPr>
            <m:t>-</m:t>
          </m:r>
          <m:sSubSup>
            <m:sSubSupPr>
              <m:ctrlPr>
                <w:rPr>
                  <w:rFonts w:ascii="Cambria Math" w:hAnsi="Cambria Math"/>
                  <w:lang w:eastAsia="en-US"/>
                </w:rPr>
              </m:ctrlPr>
            </m:sSubSupPr>
            <m:e>
              <m:r>
                <m:rPr>
                  <m:sty m:val="p"/>
                </m:rPr>
                <w:rPr>
                  <w:rFonts w:ascii="Cambria Math" w:hAnsi="Cambria Math"/>
                  <w:lang w:eastAsia="en-US"/>
                </w:rPr>
                <m:t>IBNR</m:t>
              </m:r>
            </m:e>
            <m:sub>
              <m:r>
                <w:rPr>
                  <w:rFonts w:ascii="Cambria Math" w:hAnsi="Cambria Math"/>
                  <w:lang w:eastAsia="en-US"/>
                </w:rPr>
                <m:t>п</m:t>
              </m:r>
            </m:sub>
            <m:sup>
              <m:r>
                <w:rPr>
                  <w:rFonts w:ascii="Cambria Math" w:hAnsi="Cambria Math"/>
                  <w:lang w:eastAsia="en-US"/>
                </w:rPr>
                <m:t>в</m:t>
              </m:r>
            </m:sup>
          </m:sSubSup>
          <m:r>
            <m:rPr>
              <m:sty m:val="p"/>
            </m:rPr>
            <w:rPr>
              <w:rFonts w:ascii="Cambria Math" w:hAnsi="Cambria Math"/>
              <w:lang w:eastAsia="en-US"/>
            </w:rPr>
            <m:t>)+</m:t>
          </m:r>
          <m:sSup>
            <m:sSupPr>
              <m:ctrlPr>
                <w:rPr>
                  <w:rFonts w:ascii="Cambria Math" w:hAnsi="Cambria Math"/>
                  <w:i/>
                  <w:lang w:eastAsia="en-US"/>
                </w:rPr>
              </m:ctrlPr>
            </m:sSupPr>
            <m:e>
              <m:r>
                <w:rPr>
                  <w:rFonts w:ascii="Cambria Math" w:hAnsi="Cambria Math"/>
                  <w:lang w:eastAsia="en-US"/>
                </w:rPr>
                <m:t>ВВ</m:t>
              </m:r>
            </m:e>
            <m:sup>
              <m:r>
                <w:rPr>
                  <w:rFonts w:ascii="Cambria Math" w:hAnsi="Cambria Math"/>
                  <w:lang w:eastAsia="en-US"/>
                </w:rPr>
                <m:t>в</m:t>
              </m:r>
            </m:sup>
          </m:sSup>
        </m:oMath>
      </m:oMathPara>
    </w:p>
    <w:p w14:paraId="5E3B5E49" w14:textId="77777777" w:rsidR="00CD3F38" w:rsidRPr="00B35439" w:rsidRDefault="00CD3F38" w:rsidP="00CD3F38">
      <w:pPr>
        <w:widowControl w:val="0"/>
        <w:ind w:firstLine="709"/>
        <w:rPr>
          <w:lang w:eastAsia="en-US"/>
        </w:rPr>
      </w:pPr>
    </w:p>
    <w:p w14:paraId="269CFEBF" w14:textId="77777777" w:rsidR="00CD3F38" w:rsidRPr="00B35439" w:rsidRDefault="00CD3F38" w:rsidP="00CD3F38">
      <w:pPr>
        <w:widowControl w:val="0"/>
        <w:ind w:firstLine="709"/>
        <w:rPr>
          <w:lang w:eastAsia="en-US"/>
        </w:rPr>
      </w:pPr>
      <w:r w:rsidRPr="00B35439">
        <w:rPr>
          <w:lang w:eastAsia="en-US"/>
        </w:rPr>
        <w:t>та</w:t>
      </w:r>
    </w:p>
    <w:p w14:paraId="6FE5B243" w14:textId="77777777" w:rsidR="00CD3F38" w:rsidRPr="00B35439" w:rsidRDefault="00CD3F38" w:rsidP="00CD3F38">
      <w:pPr>
        <w:widowControl w:val="0"/>
        <w:ind w:firstLine="709"/>
        <w:rPr>
          <w:lang w:eastAsia="en-US"/>
        </w:rPr>
      </w:pPr>
    </w:p>
    <w:p w14:paraId="59F49C1D" w14:textId="77777777" w:rsidR="00CD3F38" w:rsidRPr="00B35439" w:rsidRDefault="00AD09A2" w:rsidP="00CD3F38">
      <w:pPr>
        <w:widowControl w:val="0"/>
        <w:ind w:firstLine="709"/>
        <w:jc w:val="center"/>
        <w:rPr>
          <w:lang w:eastAsia="en-US"/>
        </w:rPr>
      </w:pPr>
      <m:oMath>
        <m:sSubSup>
          <m:sSubSupPr>
            <m:ctrlPr>
              <w:rPr>
                <w:rFonts w:ascii="Cambria Math" w:hAnsi="Cambria Math"/>
                <w:i/>
                <w:lang w:eastAsia="en-US"/>
              </w:rPr>
            </m:ctrlPr>
          </m:sSubSupPr>
          <m:e>
            <m:r>
              <w:rPr>
                <w:rFonts w:ascii="Cambria Math" w:hAnsi="Cambria Math"/>
                <w:lang w:eastAsia="en-US"/>
              </w:rPr>
              <m:t>ЗБ</m:t>
            </m:r>
          </m:e>
          <m:sub>
            <m:r>
              <w:rPr>
                <w:rFonts w:ascii="Cambria Math" w:hAnsi="Cambria Math"/>
                <w:lang w:eastAsia="en-US"/>
              </w:rPr>
              <m:t>брутто</m:t>
            </m:r>
          </m:sub>
          <m:sup>
            <m:r>
              <w:rPr>
                <w:rFonts w:ascii="Cambria Math" w:hAnsi="Cambria Math"/>
                <w:lang w:eastAsia="en-US"/>
              </w:rPr>
              <m:t>ін</m:t>
            </m:r>
          </m:sup>
        </m:sSubSup>
        <m:r>
          <m:rPr>
            <m:sty m:val="p"/>
          </m:rPr>
          <w:rPr>
            <w:rFonts w:ascii="Cambria Math" w:hAnsi="Cambria Math"/>
            <w:lang w:eastAsia="en-US"/>
          </w:rPr>
          <m:t>=</m:t>
        </m:r>
        <m:sSup>
          <m:sSupPr>
            <m:ctrlPr>
              <w:rPr>
                <w:rFonts w:ascii="Cambria Math" w:hAnsi="Cambria Math"/>
                <w:lang w:eastAsia="en-US"/>
              </w:rPr>
            </m:ctrlPr>
          </m:sSupPr>
          <m:e>
            <m:r>
              <m:rPr>
                <m:sty m:val="p"/>
              </m:rPr>
              <w:rPr>
                <w:rFonts w:ascii="Cambria Math" w:hAnsi="Cambria Math"/>
                <w:lang w:eastAsia="en-US"/>
              </w:rPr>
              <m:t>СВ</m:t>
            </m:r>
          </m:e>
          <m:sup>
            <m:r>
              <w:rPr>
                <w:rFonts w:ascii="Cambria Math" w:hAnsi="Cambria Math"/>
                <w:lang w:eastAsia="en-US"/>
              </w:rPr>
              <m:t>ін</m:t>
            </m:r>
          </m:sup>
        </m:sSup>
        <m:r>
          <m:rPr>
            <m:sty m:val="p"/>
          </m:rPr>
          <w:rPr>
            <w:rFonts w:ascii="Cambria Math" w:hAnsi="Cambria Math"/>
            <w:lang w:eastAsia="en-US"/>
          </w:rPr>
          <m:t>+(</m:t>
        </m:r>
        <m:sSubSup>
          <m:sSubSupPr>
            <m:ctrlPr>
              <w:rPr>
                <w:rFonts w:ascii="Cambria Math" w:hAnsi="Cambria Math"/>
                <w:lang w:eastAsia="en-US"/>
              </w:rPr>
            </m:ctrlPr>
          </m:sSubSupPr>
          <m:e>
            <m:r>
              <m:rPr>
                <m:sty m:val="p"/>
              </m:rPr>
              <w:rPr>
                <w:rFonts w:ascii="Cambria Math" w:hAnsi="Cambria Math"/>
                <w:lang w:eastAsia="en-US"/>
              </w:rPr>
              <m:t>RBNS</m:t>
            </m:r>
          </m:e>
          <m:sub>
            <m:r>
              <w:rPr>
                <w:rFonts w:ascii="Cambria Math" w:hAnsi="Cambria Math"/>
                <w:lang w:eastAsia="en-US"/>
              </w:rPr>
              <m:t>к</m:t>
            </m:r>
          </m:sub>
          <m:sup>
            <m:r>
              <w:rPr>
                <w:rFonts w:ascii="Cambria Math" w:hAnsi="Cambria Math"/>
                <w:lang w:eastAsia="en-US"/>
              </w:rPr>
              <m:t>ін</m:t>
            </m:r>
          </m:sup>
        </m:sSubSup>
        <m:r>
          <m:rPr>
            <m:sty m:val="p"/>
          </m:rPr>
          <w:rPr>
            <w:rFonts w:ascii="Cambria Math" w:hAnsi="Cambria Math"/>
            <w:lang w:eastAsia="en-US"/>
          </w:rPr>
          <m:t>-</m:t>
        </m:r>
        <m:sSubSup>
          <m:sSubSupPr>
            <m:ctrlPr>
              <w:rPr>
                <w:rFonts w:ascii="Cambria Math" w:hAnsi="Cambria Math"/>
                <w:lang w:eastAsia="en-US"/>
              </w:rPr>
            </m:ctrlPr>
          </m:sSubSupPr>
          <m:e>
            <m:r>
              <m:rPr>
                <m:sty m:val="p"/>
              </m:rPr>
              <w:rPr>
                <w:rFonts w:ascii="Cambria Math" w:hAnsi="Cambria Math"/>
                <w:lang w:eastAsia="en-US"/>
              </w:rPr>
              <m:t>RBNS</m:t>
            </m:r>
          </m:e>
          <m:sub>
            <m:r>
              <w:rPr>
                <w:rFonts w:ascii="Cambria Math" w:hAnsi="Cambria Math"/>
                <w:lang w:eastAsia="en-US"/>
              </w:rPr>
              <m:t>п</m:t>
            </m:r>
          </m:sub>
          <m:sup>
            <m:r>
              <w:rPr>
                <w:rFonts w:ascii="Cambria Math" w:hAnsi="Cambria Math"/>
                <w:lang w:eastAsia="en-US"/>
              </w:rPr>
              <m:t>ін</m:t>
            </m:r>
          </m:sup>
        </m:sSubSup>
        <m:r>
          <m:rPr>
            <m:sty m:val="p"/>
          </m:rPr>
          <w:rPr>
            <w:rFonts w:ascii="Cambria Math" w:hAnsi="Cambria Math"/>
            <w:lang w:eastAsia="en-US"/>
          </w:rPr>
          <m:t>)+(</m:t>
        </m:r>
        <m:sSubSup>
          <m:sSubSupPr>
            <m:ctrlPr>
              <w:rPr>
                <w:rFonts w:ascii="Cambria Math" w:hAnsi="Cambria Math"/>
                <w:lang w:eastAsia="en-US"/>
              </w:rPr>
            </m:ctrlPr>
          </m:sSubSupPr>
          <m:e>
            <m:r>
              <m:rPr>
                <m:sty m:val="p"/>
              </m:rPr>
              <w:rPr>
                <w:rFonts w:ascii="Cambria Math" w:hAnsi="Cambria Math"/>
                <w:lang w:eastAsia="en-US"/>
              </w:rPr>
              <m:t>IBNR</m:t>
            </m:r>
          </m:e>
          <m:sub>
            <m:r>
              <w:rPr>
                <w:rFonts w:ascii="Cambria Math" w:hAnsi="Cambria Math"/>
                <w:lang w:eastAsia="en-US"/>
              </w:rPr>
              <m:t>к</m:t>
            </m:r>
          </m:sub>
          <m:sup>
            <m:r>
              <w:rPr>
                <w:rFonts w:ascii="Cambria Math" w:hAnsi="Cambria Math"/>
                <w:lang w:eastAsia="en-US"/>
              </w:rPr>
              <m:t>ін</m:t>
            </m:r>
          </m:sup>
        </m:sSubSup>
        <m:r>
          <m:rPr>
            <m:sty m:val="p"/>
          </m:rPr>
          <w:rPr>
            <w:rFonts w:ascii="Cambria Math" w:hAnsi="Cambria Math"/>
            <w:lang w:eastAsia="en-US"/>
          </w:rPr>
          <m:t>-</m:t>
        </m:r>
        <m:sSubSup>
          <m:sSubSupPr>
            <m:ctrlPr>
              <w:rPr>
                <w:rFonts w:ascii="Cambria Math" w:hAnsi="Cambria Math"/>
                <w:lang w:eastAsia="en-US"/>
              </w:rPr>
            </m:ctrlPr>
          </m:sSubSupPr>
          <m:e>
            <m:r>
              <m:rPr>
                <m:sty m:val="p"/>
              </m:rPr>
              <w:rPr>
                <w:rFonts w:ascii="Cambria Math" w:hAnsi="Cambria Math"/>
                <w:lang w:eastAsia="en-US"/>
              </w:rPr>
              <m:t>IBNR</m:t>
            </m:r>
          </m:e>
          <m:sub>
            <m:r>
              <w:rPr>
                <w:rFonts w:ascii="Cambria Math" w:hAnsi="Cambria Math"/>
                <w:lang w:eastAsia="en-US"/>
              </w:rPr>
              <m:t>п</m:t>
            </m:r>
          </m:sub>
          <m:sup>
            <m:r>
              <w:rPr>
                <w:rFonts w:ascii="Cambria Math" w:hAnsi="Cambria Math"/>
                <w:lang w:eastAsia="en-US"/>
              </w:rPr>
              <m:t>ін</m:t>
            </m:r>
          </m:sup>
        </m:sSubSup>
        <m:r>
          <m:rPr>
            <m:sty m:val="p"/>
          </m:rPr>
          <w:rPr>
            <w:rFonts w:ascii="Cambria Math" w:hAnsi="Cambria Math"/>
            <w:lang w:eastAsia="en-US"/>
          </w:rPr>
          <m:t>)+</m:t>
        </m:r>
        <m:sSup>
          <m:sSupPr>
            <m:ctrlPr>
              <w:rPr>
                <w:rFonts w:ascii="Cambria Math" w:hAnsi="Cambria Math"/>
                <w:i/>
                <w:lang w:eastAsia="en-US"/>
              </w:rPr>
            </m:ctrlPr>
          </m:sSupPr>
          <m:e>
            <m:r>
              <w:rPr>
                <w:rFonts w:ascii="Cambria Math" w:hAnsi="Cambria Math"/>
                <w:lang w:eastAsia="en-US"/>
              </w:rPr>
              <m:t>ВВ</m:t>
            </m:r>
          </m:e>
          <m:sup>
            <m:r>
              <w:rPr>
                <w:rFonts w:ascii="Cambria Math" w:hAnsi="Cambria Math"/>
                <w:lang w:eastAsia="en-US"/>
              </w:rPr>
              <m:t>ін</m:t>
            </m:r>
          </m:sup>
        </m:sSup>
      </m:oMath>
      <w:r w:rsidR="00CD3F38" w:rsidRPr="00B35439">
        <w:rPr>
          <w:lang w:eastAsia="en-US"/>
        </w:rPr>
        <w:t>,</w:t>
      </w:r>
    </w:p>
    <w:p w14:paraId="1815F468" w14:textId="77777777" w:rsidR="00CD3F38" w:rsidRPr="00B35439" w:rsidRDefault="00CD3F38" w:rsidP="00CD3F38">
      <w:pPr>
        <w:widowControl w:val="0"/>
        <w:ind w:firstLine="709"/>
        <w:rPr>
          <w:lang w:eastAsia="en-US"/>
        </w:rPr>
      </w:pPr>
    </w:p>
    <w:p w14:paraId="1D4DF487" w14:textId="77777777" w:rsidR="00CD3F38" w:rsidRPr="00B35439" w:rsidRDefault="00CD3F38" w:rsidP="00CD3F38">
      <w:pPr>
        <w:widowControl w:val="0"/>
        <w:ind w:firstLine="709"/>
        <w:rPr>
          <w:lang w:eastAsia="en-US"/>
        </w:rPr>
      </w:pPr>
      <w:r w:rsidRPr="00B35439">
        <w:rPr>
          <w:lang w:eastAsia="en-US"/>
        </w:rPr>
        <w:t xml:space="preserve">де </w:t>
      </w:r>
      <m:oMath>
        <m:sSup>
          <m:sSupPr>
            <m:ctrlPr>
              <w:rPr>
                <w:rFonts w:ascii="Cambria Math" w:hAnsi="Cambria Math"/>
                <w:lang w:eastAsia="en-US"/>
              </w:rPr>
            </m:ctrlPr>
          </m:sSupPr>
          <m:e>
            <m:r>
              <m:rPr>
                <m:sty m:val="p"/>
              </m:rPr>
              <w:rPr>
                <w:rFonts w:ascii="Cambria Math" w:hAnsi="Cambria Math"/>
                <w:lang w:eastAsia="en-US"/>
              </w:rPr>
              <m:t>СВ</m:t>
            </m:r>
          </m:e>
          <m:sup>
            <m:r>
              <w:rPr>
                <w:rFonts w:ascii="Cambria Math" w:hAnsi="Cambria Math"/>
                <w:lang w:eastAsia="en-US"/>
              </w:rPr>
              <m:t>в</m:t>
            </m:r>
          </m:sup>
        </m:sSup>
        <m:r>
          <w:rPr>
            <w:rFonts w:ascii="Cambria Math" w:hAnsi="Cambria Math"/>
            <w:lang w:eastAsia="en-US"/>
          </w:rPr>
          <m:t xml:space="preserve">, </m:t>
        </m:r>
        <m:sSup>
          <m:sSupPr>
            <m:ctrlPr>
              <w:rPr>
                <w:rFonts w:ascii="Cambria Math" w:hAnsi="Cambria Math"/>
                <w:lang w:eastAsia="en-US"/>
              </w:rPr>
            </m:ctrlPr>
          </m:sSupPr>
          <m:e>
            <m:r>
              <m:rPr>
                <m:sty m:val="p"/>
              </m:rPr>
              <w:rPr>
                <w:rFonts w:ascii="Cambria Math" w:hAnsi="Cambria Math"/>
                <w:lang w:eastAsia="en-US"/>
              </w:rPr>
              <m:t>СВ</m:t>
            </m:r>
          </m:e>
          <m:sup>
            <m:r>
              <w:rPr>
                <w:rFonts w:ascii="Cambria Math" w:hAnsi="Cambria Math"/>
                <w:lang w:eastAsia="en-US"/>
              </w:rPr>
              <m:t>ін</m:t>
            </m:r>
          </m:sup>
        </m:sSup>
      </m:oMath>
      <w:r w:rsidRPr="00B35439">
        <w:rPr>
          <w:lang w:eastAsia="en-US"/>
        </w:rPr>
        <w:t xml:space="preserve"> – страхові виплати (страхові відшкодування) </w:t>
      </w:r>
      <w:r w:rsidRPr="00B35439">
        <w:rPr>
          <w:rFonts w:eastAsia="Calibri"/>
          <w:lang w:eastAsia="en-US"/>
        </w:rPr>
        <w:t xml:space="preserve">за </w:t>
      </w:r>
      <w:r w:rsidRPr="00B35439">
        <w:rPr>
          <w:lang w:eastAsia="en-US"/>
        </w:rPr>
        <w:t>видами страхування відповідальності та видами страхування іншими, ніж види страхування відповідальності, відповідно, нараховані у розрахунковому періоді 2;</w:t>
      </w:r>
    </w:p>
    <w:p w14:paraId="52AAA21A" w14:textId="77777777" w:rsidR="00CD3F38" w:rsidRPr="00B35439" w:rsidRDefault="00AD09A2" w:rsidP="00CD3F38">
      <w:pPr>
        <w:widowControl w:val="0"/>
        <w:ind w:firstLine="709"/>
        <w:rPr>
          <w:lang w:eastAsia="en-US"/>
        </w:rPr>
      </w:pPr>
      <m:oMath>
        <m:sSubSup>
          <m:sSubSupPr>
            <m:ctrlPr>
              <w:rPr>
                <w:rFonts w:ascii="Cambria Math" w:hAnsi="Cambria Math"/>
                <w:lang w:eastAsia="en-US"/>
              </w:rPr>
            </m:ctrlPr>
          </m:sSubSupPr>
          <m:e>
            <m:r>
              <m:rPr>
                <m:sty m:val="p"/>
              </m:rPr>
              <w:rPr>
                <w:rFonts w:ascii="Cambria Math" w:hAnsi="Cambria Math"/>
                <w:lang w:eastAsia="en-US"/>
              </w:rPr>
              <m:t>RBNS</m:t>
            </m:r>
          </m:e>
          <m:sub>
            <m:r>
              <w:rPr>
                <w:rFonts w:ascii="Cambria Math" w:hAnsi="Cambria Math"/>
                <w:lang w:eastAsia="en-US"/>
              </w:rPr>
              <m:t>к</m:t>
            </m:r>
          </m:sub>
          <m:sup>
            <m:r>
              <w:rPr>
                <w:rFonts w:ascii="Cambria Math" w:hAnsi="Cambria Math"/>
                <w:lang w:eastAsia="en-US"/>
              </w:rPr>
              <m:t>в</m:t>
            </m:r>
          </m:sup>
        </m:sSubSup>
        <m:r>
          <w:rPr>
            <w:rFonts w:ascii="Cambria Math" w:hAnsi="Cambria Math"/>
            <w:lang w:eastAsia="en-US"/>
          </w:rPr>
          <m:t>,</m:t>
        </m:r>
        <m:sSubSup>
          <m:sSubSupPr>
            <m:ctrlPr>
              <w:rPr>
                <w:rFonts w:ascii="Cambria Math" w:hAnsi="Cambria Math"/>
                <w:lang w:eastAsia="en-US"/>
              </w:rPr>
            </m:ctrlPr>
          </m:sSubSupPr>
          <m:e>
            <m:r>
              <m:rPr>
                <m:sty m:val="p"/>
              </m:rPr>
              <w:rPr>
                <w:rFonts w:ascii="Cambria Math" w:hAnsi="Cambria Math"/>
                <w:lang w:eastAsia="en-US"/>
              </w:rPr>
              <m:t>RBNS</m:t>
            </m:r>
          </m:e>
          <m:sub>
            <m:r>
              <w:rPr>
                <w:rFonts w:ascii="Cambria Math" w:hAnsi="Cambria Math"/>
                <w:lang w:eastAsia="en-US"/>
              </w:rPr>
              <m:t>к</m:t>
            </m:r>
          </m:sub>
          <m:sup>
            <m:r>
              <w:rPr>
                <w:rFonts w:ascii="Cambria Math" w:hAnsi="Cambria Math"/>
                <w:lang w:eastAsia="en-US"/>
              </w:rPr>
              <m:t>ін</m:t>
            </m:r>
          </m:sup>
        </m:sSubSup>
      </m:oMath>
      <w:r w:rsidR="00CD3F38" w:rsidRPr="00B35439">
        <w:rPr>
          <w:lang w:eastAsia="en-US"/>
        </w:rPr>
        <w:t xml:space="preserve"> – розмір резерву заявлених, але не виплачених збитків, </w:t>
      </w:r>
      <w:r w:rsidR="00CD3F38" w:rsidRPr="00B35439">
        <w:rPr>
          <w:rFonts w:eastAsia="Calibri"/>
          <w:lang w:eastAsia="en-US"/>
        </w:rPr>
        <w:t xml:space="preserve">за </w:t>
      </w:r>
      <w:r w:rsidR="00CD3F38" w:rsidRPr="00B35439">
        <w:rPr>
          <w:lang w:eastAsia="en-US"/>
        </w:rPr>
        <w:t>видами страхування відповідальності та видами страхування іншими, ніж види страхування відповідальності, відповідно на кінець розрахункового періоду 2 з урахуванням включених до цього резерву витрат на врегулювання збитків;</w:t>
      </w:r>
    </w:p>
    <w:p w14:paraId="7719AF16" w14:textId="77777777" w:rsidR="00CD3F38" w:rsidRPr="00B35439" w:rsidRDefault="00AD09A2" w:rsidP="00CD3F38">
      <w:pPr>
        <w:widowControl w:val="0"/>
        <w:ind w:firstLine="709"/>
        <w:rPr>
          <w:lang w:eastAsia="en-US"/>
        </w:rPr>
      </w:pPr>
      <m:oMath>
        <m:sSubSup>
          <m:sSubSupPr>
            <m:ctrlPr>
              <w:rPr>
                <w:rFonts w:ascii="Cambria Math" w:hAnsi="Cambria Math"/>
                <w:lang w:eastAsia="en-US"/>
              </w:rPr>
            </m:ctrlPr>
          </m:sSubSupPr>
          <m:e>
            <m:r>
              <m:rPr>
                <m:sty m:val="p"/>
              </m:rPr>
              <w:rPr>
                <w:rFonts w:ascii="Cambria Math" w:hAnsi="Cambria Math"/>
                <w:lang w:eastAsia="en-US"/>
              </w:rPr>
              <m:t>RBNS</m:t>
            </m:r>
          </m:e>
          <m:sub>
            <m:r>
              <w:rPr>
                <w:rFonts w:ascii="Cambria Math" w:hAnsi="Cambria Math"/>
                <w:lang w:eastAsia="en-US"/>
              </w:rPr>
              <m:t>п</m:t>
            </m:r>
          </m:sub>
          <m:sup>
            <m:r>
              <w:rPr>
                <w:rFonts w:ascii="Cambria Math" w:hAnsi="Cambria Math"/>
                <w:lang w:eastAsia="en-US"/>
              </w:rPr>
              <m:t>в</m:t>
            </m:r>
          </m:sup>
        </m:sSubSup>
        <m:r>
          <w:rPr>
            <w:rFonts w:ascii="Cambria Math" w:hAnsi="Cambria Math"/>
            <w:lang w:eastAsia="en-US"/>
          </w:rPr>
          <m:t>,</m:t>
        </m:r>
        <m:sSubSup>
          <m:sSubSupPr>
            <m:ctrlPr>
              <w:rPr>
                <w:rFonts w:ascii="Cambria Math" w:hAnsi="Cambria Math"/>
                <w:lang w:eastAsia="en-US"/>
              </w:rPr>
            </m:ctrlPr>
          </m:sSubSupPr>
          <m:e>
            <m:r>
              <m:rPr>
                <m:sty m:val="p"/>
              </m:rPr>
              <w:rPr>
                <w:rFonts w:ascii="Cambria Math" w:hAnsi="Cambria Math"/>
                <w:lang w:eastAsia="en-US"/>
              </w:rPr>
              <m:t>RBNS</m:t>
            </m:r>
          </m:e>
          <m:sub>
            <m:r>
              <w:rPr>
                <w:rFonts w:ascii="Cambria Math" w:hAnsi="Cambria Math"/>
                <w:lang w:eastAsia="en-US"/>
              </w:rPr>
              <m:t>п</m:t>
            </m:r>
          </m:sub>
          <m:sup>
            <m:r>
              <w:rPr>
                <w:rFonts w:ascii="Cambria Math" w:hAnsi="Cambria Math"/>
                <w:lang w:eastAsia="en-US"/>
              </w:rPr>
              <m:t>ін</m:t>
            </m:r>
          </m:sup>
        </m:sSubSup>
      </m:oMath>
      <w:r w:rsidR="00CD3F38" w:rsidRPr="00B35439">
        <w:rPr>
          <w:lang w:eastAsia="en-US"/>
        </w:rPr>
        <w:t xml:space="preserve"> – розмір резерву заявлених, але не виплачених збитків, </w:t>
      </w:r>
      <w:r w:rsidR="00CD3F38" w:rsidRPr="00B35439">
        <w:rPr>
          <w:rFonts w:eastAsia="Calibri"/>
          <w:lang w:eastAsia="en-US"/>
        </w:rPr>
        <w:t xml:space="preserve">за </w:t>
      </w:r>
      <w:r w:rsidR="00CD3F38" w:rsidRPr="00B35439">
        <w:rPr>
          <w:lang w:eastAsia="en-US"/>
        </w:rPr>
        <w:t>видами страхування відповідальності та видами страхування іншими, ніж види страхування відповідальності, відповідно на початок розрахункового періоду 2 з урахуванням включених до цього резерву витрат на врегулювання збитків;</w:t>
      </w:r>
    </w:p>
    <w:p w14:paraId="2F5ED18F" w14:textId="77777777" w:rsidR="00CD3F38" w:rsidRPr="00B35439" w:rsidRDefault="00AD09A2" w:rsidP="00CD3F38">
      <w:pPr>
        <w:widowControl w:val="0"/>
        <w:ind w:firstLine="709"/>
        <w:rPr>
          <w:lang w:eastAsia="en-US"/>
        </w:rPr>
      </w:pPr>
      <m:oMath>
        <m:sSubSup>
          <m:sSubSupPr>
            <m:ctrlPr>
              <w:rPr>
                <w:rFonts w:ascii="Cambria Math" w:hAnsi="Cambria Math"/>
                <w:lang w:eastAsia="en-US"/>
              </w:rPr>
            </m:ctrlPr>
          </m:sSubSupPr>
          <m:e>
            <m:r>
              <m:rPr>
                <m:sty m:val="p"/>
              </m:rPr>
              <w:rPr>
                <w:rFonts w:ascii="Cambria Math" w:hAnsi="Cambria Math"/>
                <w:lang w:eastAsia="en-US"/>
              </w:rPr>
              <m:t>IBNR</m:t>
            </m:r>
          </m:e>
          <m:sub>
            <m:r>
              <w:rPr>
                <w:rFonts w:ascii="Cambria Math" w:hAnsi="Cambria Math"/>
                <w:lang w:eastAsia="en-US"/>
              </w:rPr>
              <m:t>к</m:t>
            </m:r>
          </m:sub>
          <m:sup>
            <m:r>
              <w:rPr>
                <w:rFonts w:ascii="Cambria Math" w:hAnsi="Cambria Math"/>
                <w:lang w:eastAsia="en-US"/>
              </w:rPr>
              <m:t>в</m:t>
            </m:r>
          </m:sup>
        </m:sSubSup>
        <m:r>
          <w:rPr>
            <w:rFonts w:ascii="Cambria Math" w:hAnsi="Cambria Math"/>
            <w:lang w:eastAsia="en-US"/>
          </w:rPr>
          <m:t>,</m:t>
        </m:r>
        <m:sSubSup>
          <m:sSubSupPr>
            <m:ctrlPr>
              <w:rPr>
                <w:rFonts w:ascii="Cambria Math" w:hAnsi="Cambria Math"/>
                <w:lang w:eastAsia="en-US"/>
              </w:rPr>
            </m:ctrlPr>
          </m:sSubSupPr>
          <m:e>
            <m:r>
              <m:rPr>
                <m:sty m:val="p"/>
              </m:rPr>
              <w:rPr>
                <w:rFonts w:ascii="Cambria Math" w:hAnsi="Cambria Math"/>
                <w:lang w:eastAsia="en-US"/>
              </w:rPr>
              <m:t>IBNR</m:t>
            </m:r>
          </m:e>
          <m:sub>
            <m:r>
              <w:rPr>
                <w:rFonts w:ascii="Cambria Math" w:hAnsi="Cambria Math"/>
                <w:lang w:eastAsia="en-US"/>
              </w:rPr>
              <m:t>к</m:t>
            </m:r>
          </m:sub>
          <m:sup>
            <m:r>
              <w:rPr>
                <w:rFonts w:ascii="Cambria Math" w:hAnsi="Cambria Math"/>
                <w:lang w:eastAsia="en-US"/>
              </w:rPr>
              <m:t>ін</m:t>
            </m:r>
          </m:sup>
        </m:sSubSup>
      </m:oMath>
      <w:r w:rsidR="00CD3F38" w:rsidRPr="00B35439">
        <w:rPr>
          <w:lang w:eastAsia="en-US"/>
        </w:rPr>
        <w:t xml:space="preserve"> – розмір резерву збитків, які виникли, але не заявлені, </w:t>
      </w:r>
      <w:r w:rsidR="00CD3F38" w:rsidRPr="00B35439">
        <w:rPr>
          <w:rFonts w:eastAsia="Calibri"/>
          <w:lang w:eastAsia="en-US"/>
        </w:rPr>
        <w:t xml:space="preserve">за </w:t>
      </w:r>
      <w:r w:rsidR="00CD3F38" w:rsidRPr="00B35439">
        <w:rPr>
          <w:lang w:eastAsia="en-US"/>
        </w:rPr>
        <w:t>видами страхування відповідальності та видами страхування іншими, ніж види страхування відповідальності, відповідно на кінець розрахункового періоду 2 з урахуванням включених до цього резерву витрат на врегулювання збитків;</w:t>
      </w:r>
    </w:p>
    <w:p w14:paraId="639A2A72" w14:textId="77777777" w:rsidR="00CD3F38" w:rsidRPr="00B35439" w:rsidRDefault="00AD09A2" w:rsidP="00CD3F38">
      <w:pPr>
        <w:widowControl w:val="0"/>
        <w:ind w:firstLine="709"/>
        <w:rPr>
          <w:lang w:eastAsia="en-US"/>
        </w:rPr>
      </w:pPr>
      <m:oMath>
        <m:sSubSup>
          <m:sSubSupPr>
            <m:ctrlPr>
              <w:rPr>
                <w:rFonts w:ascii="Cambria Math" w:hAnsi="Cambria Math"/>
                <w:lang w:eastAsia="en-US"/>
              </w:rPr>
            </m:ctrlPr>
          </m:sSubSupPr>
          <m:e>
            <m:r>
              <m:rPr>
                <m:sty m:val="p"/>
              </m:rPr>
              <w:rPr>
                <w:rFonts w:ascii="Cambria Math" w:hAnsi="Cambria Math"/>
                <w:lang w:eastAsia="en-US"/>
              </w:rPr>
              <m:t>IBNR</m:t>
            </m:r>
          </m:e>
          <m:sub>
            <m:r>
              <w:rPr>
                <w:rFonts w:ascii="Cambria Math" w:hAnsi="Cambria Math"/>
                <w:lang w:eastAsia="en-US"/>
              </w:rPr>
              <m:t>п</m:t>
            </m:r>
          </m:sub>
          <m:sup>
            <m:r>
              <w:rPr>
                <w:rFonts w:ascii="Cambria Math" w:hAnsi="Cambria Math"/>
                <w:lang w:eastAsia="en-US"/>
              </w:rPr>
              <m:t>в</m:t>
            </m:r>
          </m:sup>
        </m:sSubSup>
        <m:r>
          <w:rPr>
            <w:rFonts w:ascii="Cambria Math" w:hAnsi="Cambria Math"/>
            <w:lang w:eastAsia="en-US"/>
          </w:rPr>
          <m:t>,</m:t>
        </m:r>
        <m:sSubSup>
          <m:sSubSupPr>
            <m:ctrlPr>
              <w:rPr>
                <w:rFonts w:ascii="Cambria Math" w:hAnsi="Cambria Math"/>
                <w:lang w:eastAsia="en-US"/>
              </w:rPr>
            </m:ctrlPr>
          </m:sSubSupPr>
          <m:e>
            <m:r>
              <m:rPr>
                <m:sty m:val="p"/>
              </m:rPr>
              <w:rPr>
                <w:rFonts w:ascii="Cambria Math" w:hAnsi="Cambria Math"/>
                <w:lang w:eastAsia="en-US"/>
              </w:rPr>
              <m:t>IBNR</m:t>
            </m:r>
          </m:e>
          <m:sub>
            <m:r>
              <w:rPr>
                <w:rFonts w:ascii="Cambria Math" w:hAnsi="Cambria Math"/>
                <w:lang w:eastAsia="en-US"/>
              </w:rPr>
              <m:t>п</m:t>
            </m:r>
          </m:sub>
          <m:sup>
            <m:r>
              <w:rPr>
                <w:rFonts w:ascii="Cambria Math" w:hAnsi="Cambria Math"/>
                <w:lang w:eastAsia="en-US"/>
              </w:rPr>
              <m:t>ін</m:t>
            </m:r>
          </m:sup>
        </m:sSubSup>
      </m:oMath>
      <w:r w:rsidR="00CD3F38" w:rsidRPr="00B35439">
        <w:rPr>
          <w:lang w:eastAsia="en-US"/>
        </w:rPr>
        <w:t xml:space="preserve"> – розмір резерву збитків, які виникли, але не заявлені, </w:t>
      </w:r>
      <w:r w:rsidR="00CD3F38" w:rsidRPr="00B35439">
        <w:rPr>
          <w:rFonts w:eastAsia="Calibri"/>
          <w:lang w:eastAsia="en-US"/>
        </w:rPr>
        <w:t xml:space="preserve">за </w:t>
      </w:r>
      <w:r w:rsidR="00CD3F38" w:rsidRPr="00B35439">
        <w:rPr>
          <w:lang w:eastAsia="en-US"/>
        </w:rPr>
        <w:t>видами страхування відповідальності та видами страхування іншими, ніж види страхування відповідальності, відповідно на початок розрахункового періоду 2 з урахуванням включених до цього резерву витрат на врегулювання збитків;</w:t>
      </w:r>
    </w:p>
    <w:p w14:paraId="2C5B4CE7" w14:textId="77777777" w:rsidR="00CD3F38" w:rsidRPr="00B35439" w:rsidRDefault="00AD09A2" w:rsidP="00CD3F38">
      <w:pPr>
        <w:widowControl w:val="0"/>
        <w:ind w:firstLine="709"/>
        <w:rPr>
          <w:lang w:eastAsia="en-US"/>
        </w:rPr>
      </w:pPr>
      <m:oMath>
        <m:sSup>
          <m:sSupPr>
            <m:ctrlPr>
              <w:rPr>
                <w:rFonts w:ascii="Cambria Math" w:hAnsi="Cambria Math"/>
                <w:i/>
                <w:lang w:eastAsia="en-US"/>
              </w:rPr>
            </m:ctrlPr>
          </m:sSupPr>
          <m:e>
            <m:sSup>
              <m:sSupPr>
                <m:ctrlPr>
                  <w:rPr>
                    <w:rFonts w:ascii="Cambria Math" w:hAnsi="Cambria Math"/>
                    <w:i/>
                    <w:lang w:eastAsia="en-US"/>
                  </w:rPr>
                </m:ctrlPr>
              </m:sSupPr>
              <m:e>
                <m:r>
                  <w:rPr>
                    <w:rFonts w:ascii="Cambria Math" w:hAnsi="Cambria Math"/>
                    <w:lang w:eastAsia="en-US"/>
                  </w:rPr>
                  <m:t>ВВ</m:t>
                </m:r>
              </m:e>
              <m:sup>
                <m:r>
                  <w:rPr>
                    <w:rFonts w:ascii="Cambria Math" w:hAnsi="Cambria Math"/>
                    <w:lang w:eastAsia="en-US"/>
                  </w:rPr>
                  <m:t>в</m:t>
                </m:r>
              </m:sup>
            </m:sSup>
            <m:r>
              <w:rPr>
                <w:rFonts w:ascii="Cambria Math" w:hAnsi="Cambria Math"/>
                <w:lang w:eastAsia="en-US"/>
              </w:rPr>
              <m:t>,ВВ</m:t>
            </m:r>
          </m:e>
          <m:sup>
            <m:r>
              <w:rPr>
                <w:rFonts w:ascii="Cambria Math" w:hAnsi="Cambria Math"/>
                <w:lang w:eastAsia="en-US"/>
              </w:rPr>
              <m:t>ін</m:t>
            </m:r>
          </m:sup>
        </m:sSup>
      </m:oMath>
      <w:r w:rsidR="00CD3F38" w:rsidRPr="00B35439">
        <w:rPr>
          <w:lang w:eastAsia="en-US"/>
        </w:rPr>
        <w:t xml:space="preserve"> – витрати на врегулювання збитків </w:t>
      </w:r>
      <w:r w:rsidR="00CD3F38" w:rsidRPr="00B35439">
        <w:rPr>
          <w:rFonts w:eastAsia="Calibri"/>
          <w:lang w:eastAsia="en-US"/>
        </w:rPr>
        <w:t xml:space="preserve">за </w:t>
      </w:r>
      <w:r w:rsidR="00CD3F38" w:rsidRPr="00B35439">
        <w:rPr>
          <w:lang w:eastAsia="en-US"/>
        </w:rPr>
        <w:t>видами страхування відповідальності та видами страхування іншими, ніж види страхування відповідальності, відповідно, нараховані у розрахунковому періоді 2;</w:t>
      </w:r>
    </w:p>
    <w:p w14:paraId="45A20C90" w14:textId="77777777" w:rsidR="00CD3F38" w:rsidRPr="00B35439" w:rsidRDefault="00AD09A2" w:rsidP="00CD3F38">
      <w:pPr>
        <w:widowControl w:val="0"/>
        <w:ind w:firstLine="709"/>
        <w:rPr>
          <w:lang w:eastAsia="en-US"/>
        </w:rPr>
      </w:pPr>
      <m:oMath>
        <m:sSub>
          <m:sSubPr>
            <m:ctrlPr>
              <w:rPr>
                <w:rFonts w:ascii="Cambria Math" w:hAnsi="Cambria Math"/>
                <w:lang w:eastAsia="en-US"/>
              </w:rPr>
            </m:ctrlPr>
          </m:sSubPr>
          <m:e>
            <m:r>
              <m:rPr>
                <m:sty m:val="p"/>
              </m:rPr>
              <w:rPr>
                <w:rFonts w:ascii="Cambria Math" w:hAnsi="Cambria Math"/>
                <w:lang w:eastAsia="en-US"/>
              </w:rPr>
              <m:t>k</m:t>
            </m:r>
          </m:e>
          <m:sub>
            <m:r>
              <m:rPr>
                <m:sty m:val="p"/>
              </m:rPr>
              <w:rPr>
                <w:rFonts w:ascii="Cambria Math" w:hAnsi="Cambria Math"/>
                <w:lang w:eastAsia="en-US"/>
              </w:rPr>
              <m:t>re</m:t>
            </m:r>
          </m:sub>
        </m:sSub>
      </m:oMath>
      <w:r w:rsidR="00CD3F38" w:rsidRPr="00B35439">
        <w:rPr>
          <w:lang w:eastAsia="en-US"/>
        </w:rPr>
        <w:t xml:space="preserve"> – коефіцієнт ефективності перестрахування;</w:t>
      </w:r>
    </w:p>
    <w:p w14:paraId="74C8D790" w14:textId="77777777" w:rsidR="00CD3F38" w:rsidRPr="00B35439" w:rsidRDefault="00CD3F38" w:rsidP="00CD3F38">
      <w:pPr>
        <w:widowControl w:val="0"/>
        <w:ind w:firstLine="709"/>
        <w:rPr>
          <w:lang w:eastAsia="en-US"/>
        </w:rPr>
      </w:pPr>
    </w:p>
    <w:p w14:paraId="580294B0" w14:textId="4E6B02F7" w:rsidR="00CD3F38" w:rsidRPr="00B35439" w:rsidRDefault="00AD09A2" w:rsidP="00CD3F38">
      <w:pPr>
        <w:widowControl w:val="0"/>
        <w:numPr>
          <w:ilvl w:val="0"/>
          <w:numId w:val="14"/>
        </w:numPr>
        <w:tabs>
          <w:tab w:val="left" w:pos="993"/>
        </w:tabs>
        <w:ind w:left="0" w:firstLine="709"/>
        <w:contextualSpacing/>
        <w:rPr>
          <w:rFonts w:eastAsia="Calibri"/>
          <w:lang w:eastAsia="en-US"/>
        </w:rPr>
      </w:pPr>
      <m:oMath>
        <m:sSub>
          <m:sSubPr>
            <m:ctrlPr>
              <w:rPr>
                <w:rFonts w:ascii="Cambria Math" w:eastAsia="Calibri" w:hAnsi="Cambria Math"/>
                <w:lang w:eastAsia="en-US"/>
              </w:rPr>
            </m:ctrlPr>
          </m:sSubPr>
          <m:e>
            <m:r>
              <w:rPr>
                <w:rFonts w:ascii="Cambria Math" w:eastAsia="Calibri" w:hAnsi="Cambria Math"/>
                <w:lang w:eastAsia="en-US"/>
              </w:rPr>
              <m:t>НЗП</m:t>
            </m:r>
          </m:e>
          <m:sub>
            <m:r>
              <w:rPr>
                <w:rFonts w:ascii="Cambria Math" w:eastAsia="Calibri" w:hAnsi="Cambria Math"/>
                <w:lang w:eastAsia="en-US"/>
              </w:rPr>
              <m:t>п</m:t>
            </m:r>
          </m:sub>
        </m:sSub>
      </m:oMath>
      <w:r w:rsidR="00B35439" w:rsidRPr="00B35439">
        <w:rPr>
          <w:lang w:eastAsia="en-US"/>
        </w:rPr>
        <w:t xml:space="preserve"> – нормативний </w:t>
      </w:r>
      <w:r w:rsidR="00CD3F38" w:rsidRPr="00B35439">
        <w:rPr>
          <w:lang w:eastAsia="en-US"/>
        </w:rPr>
        <w:t>запас платоспроможності, який визначається з метою дотримання нормативу платоспроможності та достатності капіталу,</w:t>
      </w:r>
      <w:r w:rsidR="00CD3F38" w:rsidRPr="00B35439">
        <w:rPr>
          <w:rFonts w:eastAsia="Calibri"/>
          <w:lang w:eastAsia="en-US"/>
        </w:rPr>
        <w:t xml:space="preserve"> розрахований станом на 31 грудня попереднього календарного року на підставі додатка </w:t>
      </w:r>
      <w:r w:rsidR="007C4D38" w:rsidRPr="00B35439">
        <w:rPr>
          <w:rFonts w:eastAsia="Calibri"/>
          <w:lang w:eastAsia="en-US"/>
        </w:rPr>
        <w:t xml:space="preserve">2 </w:t>
      </w:r>
      <w:r w:rsidR="00CD3F38" w:rsidRPr="00B35439">
        <w:rPr>
          <w:rFonts w:eastAsia="Calibri"/>
          <w:lang w:eastAsia="en-US"/>
        </w:rPr>
        <w:t>до Положення</w:t>
      </w:r>
      <w:r w:rsidR="000C5121" w:rsidRPr="00B35439">
        <w:rPr>
          <w:rFonts w:eastAsia="Calibri"/>
          <w:lang w:eastAsia="en-US"/>
        </w:rPr>
        <w:t xml:space="preserve"> про </w:t>
      </w:r>
      <w:r w:rsidR="00402C34" w:rsidRPr="00B35439">
        <w:rPr>
          <w:bCs/>
          <w:lang w:eastAsia="en-US"/>
        </w:rPr>
        <w:t>обов’язкові критерії і нормативи достатності капіталу та платоспроможності, ліквідності, прибутковості, якості активів та ризиковості операцій страховика</w:t>
      </w:r>
      <w:r w:rsidR="00CD3F38" w:rsidRPr="00B35439">
        <w:rPr>
          <w:rFonts w:eastAsia="Calibri"/>
          <w:lang w:eastAsia="en-US"/>
        </w:rPr>
        <w:t xml:space="preserve">, помножений на коефіцієнт зміни резервів збитків </w:t>
      </w:r>
      <m:oMath>
        <m:sSub>
          <m:sSubPr>
            <m:ctrlPr>
              <w:rPr>
                <w:rFonts w:ascii="Cambria Math" w:hAnsi="Cambria Math"/>
                <w:lang w:eastAsia="en-US"/>
              </w:rPr>
            </m:ctrlPr>
          </m:sSubPr>
          <m:e>
            <m:r>
              <m:rPr>
                <m:sty m:val="p"/>
              </m:rPr>
              <w:rPr>
                <w:rFonts w:ascii="Cambria Math" w:hAnsi="Cambria Math"/>
                <w:lang w:eastAsia="en-US"/>
              </w:rPr>
              <m:t>k</m:t>
            </m:r>
          </m:e>
          <m:sub>
            <m:r>
              <m:rPr>
                <m:sty m:val="p"/>
              </m:rPr>
              <w:rPr>
                <w:rFonts w:ascii="Cambria Math" w:hAnsi="Cambria Math"/>
                <w:lang w:eastAsia="en-US"/>
              </w:rPr>
              <m:t>рез</m:t>
            </m:r>
          </m:sub>
        </m:sSub>
      </m:oMath>
      <w:r w:rsidR="00CD3F38" w:rsidRPr="00B35439">
        <w:rPr>
          <w:rFonts w:eastAsia="Calibri"/>
          <w:lang w:eastAsia="en-US"/>
        </w:rPr>
        <w:t>, який рівний меншій з наступних величин:</w:t>
      </w:r>
    </w:p>
    <w:p w14:paraId="760F1AFF" w14:textId="77777777" w:rsidR="00CD3F38" w:rsidRPr="00B35439" w:rsidRDefault="00CD3F38" w:rsidP="00CD3F38">
      <w:pPr>
        <w:widowControl w:val="0"/>
        <w:tabs>
          <w:tab w:val="left" w:pos="993"/>
        </w:tabs>
        <w:ind w:firstLine="709"/>
        <w:contextualSpacing/>
        <w:rPr>
          <w:rFonts w:eastAsia="Calibri"/>
          <w:lang w:eastAsia="en-US"/>
        </w:rPr>
      </w:pPr>
    </w:p>
    <w:p w14:paraId="3C8B9A87" w14:textId="77777777" w:rsidR="00CD3F38" w:rsidRPr="00B35439" w:rsidRDefault="00CD3F38" w:rsidP="00CD3F38">
      <w:pPr>
        <w:widowControl w:val="0"/>
        <w:tabs>
          <w:tab w:val="left" w:pos="1134"/>
        </w:tabs>
        <w:ind w:firstLine="709"/>
        <w:jc w:val="center"/>
        <w:rPr>
          <w:rFonts w:eastAsia="Calibri"/>
          <w:lang w:eastAsia="en-US"/>
        </w:rPr>
      </w:pPr>
      <w:r w:rsidRPr="00B35439">
        <w:rPr>
          <w:rFonts w:eastAsia="Calibri"/>
          <w:lang w:eastAsia="en-US"/>
        </w:rPr>
        <w:t>1;</w:t>
      </w:r>
    </w:p>
    <w:p w14:paraId="52B40A7A" w14:textId="77777777" w:rsidR="00CD3F38" w:rsidRPr="00B35439" w:rsidRDefault="00CD3F38" w:rsidP="00CD3F38">
      <w:pPr>
        <w:widowControl w:val="0"/>
        <w:tabs>
          <w:tab w:val="left" w:pos="1134"/>
        </w:tabs>
        <w:ind w:firstLine="709"/>
        <w:jc w:val="center"/>
        <w:rPr>
          <w:rFonts w:eastAsia="Calibri"/>
          <w:lang w:eastAsia="en-US"/>
        </w:rPr>
      </w:pPr>
    </w:p>
    <w:p w14:paraId="6002D790" w14:textId="77777777" w:rsidR="00CD3F38" w:rsidRPr="00B35439" w:rsidRDefault="00AD09A2" w:rsidP="00CD3F38">
      <w:pPr>
        <w:widowControl w:val="0"/>
        <w:tabs>
          <w:tab w:val="left" w:pos="1134"/>
        </w:tabs>
        <w:ind w:firstLine="709"/>
        <w:jc w:val="center"/>
        <w:rPr>
          <w:lang w:eastAsia="en-US"/>
        </w:rPr>
      </w:pPr>
      <m:oMathPara>
        <m:oMath>
          <m:f>
            <m:fPr>
              <m:ctrlPr>
                <w:rPr>
                  <w:rFonts w:ascii="Cambria Math" w:hAnsi="Cambria Math"/>
                  <w:lang w:eastAsia="en-US"/>
                </w:rPr>
              </m:ctrlPr>
            </m:fPr>
            <m:num>
              <m:sSub>
                <m:sSubPr>
                  <m:ctrlPr>
                    <w:rPr>
                      <w:rFonts w:ascii="Cambria Math" w:hAnsi="Cambria Math"/>
                      <w:lang w:eastAsia="en-US"/>
                    </w:rPr>
                  </m:ctrlPr>
                </m:sSubPr>
                <m:e>
                  <m:r>
                    <m:rPr>
                      <m:sty m:val="p"/>
                    </m:rPr>
                    <w:rPr>
                      <w:rFonts w:ascii="Cambria Math" w:hAnsi="Cambria Math"/>
                      <w:lang w:eastAsia="en-US"/>
                    </w:rPr>
                    <m:t>RBNS</m:t>
                  </m:r>
                </m:e>
                <m:sub>
                  <m:r>
                    <w:rPr>
                      <w:rFonts w:ascii="Cambria Math" w:hAnsi="Cambria Math"/>
                      <w:lang w:eastAsia="en-US"/>
                    </w:rPr>
                    <m:t>к</m:t>
                  </m:r>
                </m:sub>
              </m:sSub>
              <m:r>
                <w:rPr>
                  <w:rFonts w:ascii="Cambria Math" w:hAnsi="Cambria Math"/>
                  <w:lang w:eastAsia="en-US"/>
                </w:rPr>
                <m:t>-</m:t>
              </m:r>
              <m:sSubSup>
                <m:sSubSupPr>
                  <m:ctrlPr>
                    <w:rPr>
                      <w:rFonts w:ascii="Cambria Math" w:hAnsi="Cambria Math"/>
                      <w:lang w:eastAsia="en-US"/>
                    </w:rPr>
                  </m:ctrlPr>
                </m:sSubSupPr>
                <m:e>
                  <m:r>
                    <m:rPr>
                      <m:sty m:val="p"/>
                    </m:rPr>
                    <w:rPr>
                      <w:rFonts w:ascii="Cambria Math" w:hAnsi="Cambria Math"/>
                      <w:lang w:eastAsia="en-US"/>
                    </w:rPr>
                    <m:t>RBNS</m:t>
                  </m:r>
                </m:e>
                <m:sub>
                  <m:r>
                    <w:rPr>
                      <w:rFonts w:ascii="Cambria Math" w:hAnsi="Cambria Math"/>
                      <w:lang w:eastAsia="en-US"/>
                    </w:rPr>
                    <m:t>к</m:t>
                  </m:r>
                </m:sub>
                <m:sup>
                  <m:r>
                    <w:rPr>
                      <w:rFonts w:ascii="Cambria Math" w:hAnsi="Cambria Math"/>
                      <w:lang w:eastAsia="en-US"/>
                    </w:rPr>
                    <m:t>re</m:t>
                  </m:r>
                </m:sup>
              </m:sSubSup>
              <m:r>
                <w:rPr>
                  <w:rFonts w:ascii="Cambria Math" w:hAnsi="Cambria Math"/>
                  <w:lang w:eastAsia="en-US"/>
                </w:rPr>
                <m:t>+</m:t>
              </m:r>
              <m:sSub>
                <m:sSubPr>
                  <m:ctrlPr>
                    <w:rPr>
                      <w:rFonts w:ascii="Cambria Math" w:hAnsi="Cambria Math"/>
                      <w:lang w:eastAsia="en-US"/>
                    </w:rPr>
                  </m:ctrlPr>
                </m:sSubPr>
                <m:e>
                  <m:r>
                    <m:rPr>
                      <m:sty m:val="p"/>
                    </m:rPr>
                    <w:rPr>
                      <w:rFonts w:ascii="Cambria Math" w:hAnsi="Cambria Math"/>
                      <w:lang w:eastAsia="en-US"/>
                    </w:rPr>
                    <m:t>IBNR</m:t>
                  </m:r>
                </m:e>
                <m:sub>
                  <m:r>
                    <w:rPr>
                      <w:rFonts w:ascii="Cambria Math" w:hAnsi="Cambria Math"/>
                      <w:lang w:eastAsia="en-US"/>
                    </w:rPr>
                    <m:t>к</m:t>
                  </m:r>
                </m:sub>
              </m:sSub>
              <m:r>
                <w:rPr>
                  <w:rFonts w:ascii="Cambria Math" w:hAnsi="Cambria Math"/>
                  <w:lang w:eastAsia="en-US"/>
                </w:rPr>
                <m:t>-</m:t>
              </m:r>
              <m:sSubSup>
                <m:sSubSupPr>
                  <m:ctrlPr>
                    <w:rPr>
                      <w:rFonts w:ascii="Cambria Math" w:hAnsi="Cambria Math"/>
                      <w:lang w:eastAsia="en-US"/>
                    </w:rPr>
                  </m:ctrlPr>
                </m:sSubSupPr>
                <m:e>
                  <m:r>
                    <m:rPr>
                      <m:sty m:val="p"/>
                    </m:rPr>
                    <w:rPr>
                      <w:rFonts w:ascii="Cambria Math" w:hAnsi="Cambria Math"/>
                      <w:lang w:eastAsia="en-US"/>
                    </w:rPr>
                    <m:t>IBNR</m:t>
                  </m:r>
                </m:e>
                <m:sub>
                  <m:r>
                    <w:rPr>
                      <w:rFonts w:ascii="Cambria Math" w:hAnsi="Cambria Math"/>
                      <w:lang w:eastAsia="en-US"/>
                    </w:rPr>
                    <m:t>к</m:t>
                  </m:r>
                </m:sub>
                <m:sup>
                  <m:r>
                    <w:rPr>
                      <w:rFonts w:ascii="Cambria Math" w:hAnsi="Cambria Math"/>
                      <w:lang w:eastAsia="en-US"/>
                    </w:rPr>
                    <m:t>re</m:t>
                  </m:r>
                </m:sup>
              </m:sSubSup>
            </m:num>
            <m:den>
              <m:sSub>
                <m:sSubPr>
                  <m:ctrlPr>
                    <w:rPr>
                      <w:rFonts w:ascii="Cambria Math" w:hAnsi="Cambria Math"/>
                      <w:lang w:eastAsia="en-US"/>
                    </w:rPr>
                  </m:ctrlPr>
                </m:sSubPr>
                <m:e>
                  <m:r>
                    <m:rPr>
                      <m:sty m:val="p"/>
                    </m:rPr>
                    <w:rPr>
                      <w:rFonts w:ascii="Cambria Math" w:hAnsi="Cambria Math"/>
                      <w:lang w:eastAsia="en-US"/>
                    </w:rPr>
                    <m:t>RBNS</m:t>
                  </m:r>
                </m:e>
                <m:sub>
                  <m:r>
                    <w:rPr>
                      <w:rFonts w:ascii="Cambria Math" w:hAnsi="Cambria Math"/>
                      <w:lang w:eastAsia="en-US"/>
                    </w:rPr>
                    <m:t>п.р.</m:t>
                  </m:r>
                </m:sub>
              </m:sSub>
              <m:r>
                <w:rPr>
                  <w:rFonts w:ascii="Cambria Math" w:hAnsi="Cambria Math"/>
                  <w:lang w:eastAsia="en-US"/>
                </w:rPr>
                <m:t>-</m:t>
              </m:r>
              <m:sSubSup>
                <m:sSubSupPr>
                  <m:ctrlPr>
                    <w:rPr>
                      <w:rFonts w:ascii="Cambria Math" w:hAnsi="Cambria Math"/>
                      <w:lang w:eastAsia="en-US"/>
                    </w:rPr>
                  </m:ctrlPr>
                </m:sSubSupPr>
                <m:e>
                  <m:r>
                    <m:rPr>
                      <m:sty m:val="p"/>
                    </m:rPr>
                    <w:rPr>
                      <w:rFonts w:ascii="Cambria Math" w:hAnsi="Cambria Math"/>
                      <w:lang w:eastAsia="en-US"/>
                    </w:rPr>
                    <m:t>RBNS</m:t>
                  </m:r>
                </m:e>
                <m:sub>
                  <m:r>
                    <w:rPr>
                      <w:rFonts w:ascii="Cambria Math" w:hAnsi="Cambria Math"/>
                      <w:lang w:eastAsia="en-US"/>
                    </w:rPr>
                    <m:t>п.р.</m:t>
                  </m:r>
                </m:sub>
                <m:sup>
                  <m:r>
                    <w:rPr>
                      <w:rFonts w:ascii="Cambria Math" w:hAnsi="Cambria Math"/>
                      <w:lang w:eastAsia="en-US"/>
                    </w:rPr>
                    <m:t>re</m:t>
                  </m:r>
                </m:sup>
              </m:sSubSup>
              <m:r>
                <w:rPr>
                  <w:rFonts w:ascii="Cambria Math" w:hAnsi="Cambria Math"/>
                  <w:lang w:eastAsia="en-US"/>
                </w:rPr>
                <m:t>+</m:t>
              </m:r>
              <m:sSub>
                <m:sSubPr>
                  <m:ctrlPr>
                    <w:rPr>
                      <w:rFonts w:ascii="Cambria Math" w:hAnsi="Cambria Math"/>
                      <w:lang w:eastAsia="en-US"/>
                    </w:rPr>
                  </m:ctrlPr>
                </m:sSubPr>
                <m:e>
                  <m:r>
                    <m:rPr>
                      <m:sty m:val="p"/>
                    </m:rPr>
                    <w:rPr>
                      <w:rFonts w:ascii="Cambria Math" w:hAnsi="Cambria Math"/>
                      <w:lang w:eastAsia="en-US"/>
                    </w:rPr>
                    <m:t>IBNR</m:t>
                  </m:r>
                </m:e>
                <m:sub>
                  <m:r>
                    <w:rPr>
                      <w:rFonts w:ascii="Cambria Math" w:hAnsi="Cambria Math"/>
                      <w:lang w:eastAsia="en-US"/>
                    </w:rPr>
                    <m:t>п.р.</m:t>
                  </m:r>
                </m:sub>
              </m:sSub>
              <m:r>
                <w:rPr>
                  <w:rFonts w:ascii="Cambria Math" w:hAnsi="Cambria Math"/>
                  <w:lang w:eastAsia="en-US"/>
                </w:rPr>
                <m:t>-</m:t>
              </m:r>
              <m:sSubSup>
                <m:sSubSupPr>
                  <m:ctrlPr>
                    <w:rPr>
                      <w:rFonts w:ascii="Cambria Math" w:hAnsi="Cambria Math"/>
                      <w:lang w:eastAsia="en-US"/>
                    </w:rPr>
                  </m:ctrlPr>
                </m:sSubSupPr>
                <m:e>
                  <m:r>
                    <m:rPr>
                      <m:sty m:val="p"/>
                    </m:rPr>
                    <w:rPr>
                      <w:rFonts w:ascii="Cambria Math" w:hAnsi="Cambria Math"/>
                      <w:lang w:eastAsia="en-US"/>
                    </w:rPr>
                    <m:t>IBNR</m:t>
                  </m:r>
                </m:e>
                <m:sub>
                  <m:r>
                    <w:rPr>
                      <w:rFonts w:ascii="Cambria Math" w:hAnsi="Cambria Math"/>
                      <w:lang w:eastAsia="en-US"/>
                    </w:rPr>
                    <m:t>п.р.</m:t>
                  </m:r>
                </m:sub>
                <m:sup>
                  <m:r>
                    <w:rPr>
                      <w:rFonts w:ascii="Cambria Math" w:hAnsi="Cambria Math"/>
                      <w:lang w:eastAsia="en-US"/>
                    </w:rPr>
                    <m:t>re</m:t>
                  </m:r>
                </m:sup>
              </m:sSubSup>
            </m:den>
          </m:f>
          <m:r>
            <w:rPr>
              <w:rFonts w:ascii="Cambria Math" w:hAnsi="Cambria Math"/>
              <w:lang w:eastAsia="en-US"/>
            </w:rPr>
            <m:t>,</m:t>
          </m:r>
        </m:oMath>
      </m:oMathPara>
    </w:p>
    <w:p w14:paraId="6814A912" w14:textId="77777777" w:rsidR="00CD3F38" w:rsidRPr="00B35439" w:rsidRDefault="00CD3F38" w:rsidP="00CD3F38">
      <w:pPr>
        <w:widowControl w:val="0"/>
        <w:tabs>
          <w:tab w:val="left" w:pos="1134"/>
        </w:tabs>
        <w:ind w:firstLine="709"/>
        <w:jc w:val="center"/>
        <w:rPr>
          <w:lang w:eastAsia="en-US"/>
        </w:rPr>
      </w:pPr>
    </w:p>
    <w:p w14:paraId="7BA6F7BE" w14:textId="77777777" w:rsidR="00CD3F38" w:rsidRPr="00B35439" w:rsidRDefault="00CD3F38" w:rsidP="00CD3F38">
      <w:pPr>
        <w:widowControl w:val="0"/>
        <w:ind w:firstLine="709"/>
        <w:rPr>
          <w:lang w:eastAsia="en-US"/>
        </w:rPr>
      </w:pPr>
      <w:r w:rsidRPr="00B35439">
        <w:rPr>
          <w:lang w:eastAsia="en-US"/>
        </w:rPr>
        <w:t xml:space="preserve">де </w:t>
      </w:r>
      <m:oMath>
        <m:sSub>
          <m:sSubPr>
            <m:ctrlPr>
              <w:rPr>
                <w:rFonts w:ascii="Cambria Math" w:hAnsi="Cambria Math"/>
                <w:lang w:eastAsia="en-US"/>
              </w:rPr>
            </m:ctrlPr>
          </m:sSubPr>
          <m:e>
            <m:r>
              <m:rPr>
                <m:sty m:val="p"/>
              </m:rPr>
              <w:rPr>
                <w:rFonts w:ascii="Cambria Math" w:hAnsi="Cambria Math"/>
                <w:lang w:eastAsia="en-US"/>
              </w:rPr>
              <m:t>RBNS</m:t>
            </m:r>
          </m:e>
          <m:sub>
            <m:r>
              <w:rPr>
                <w:rFonts w:ascii="Cambria Math" w:hAnsi="Cambria Math"/>
                <w:lang w:eastAsia="en-US"/>
              </w:rPr>
              <m:t>к</m:t>
            </m:r>
          </m:sub>
        </m:sSub>
        <m:r>
          <m:rPr>
            <m:sty m:val="p"/>
          </m:rPr>
          <w:rPr>
            <w:rFonts w:ascii="Cambria Math" w:hAnsi="Cambria Math"/>
            <w:lang w:eastAsia="en-US"/>
          </w:rPr>
          <m:t>,</m:t>
        </m:r>
        <m:sSub>
          <m:sSubPr>
            <m:ctrlPr>
              <w:rPr>
                <w:rFonts w:ascii="Cambria Math" w:hAnsi="Cambria Math"/>
                <w:lang w:eastAsia="en-US"/>
              </w:rPr>
            </m:ctrlPr>
          </m:sSubPr>
          <m:e>
            <m:r>
              <m:rPr>
                <m:sty m:val="p"/>
              </m:rPr>
              <w:rPr>
                <w:rFonts w:ascii="Cambria Math" w:hAnsi="Cambria Math"/>
                <w:lang w:eastAsia="en-US"/>
              </w:rPr>
              <m:t>RBNS</m:t>
            </m:r>
          </m:e>
          <m:sub>
            <m:r>
              <w:rPr>
                <w:rFonts w:ascii="Cambria Math" w:hAnsi="Cambria Math"/>
                <w:lang w:eastAsia="en-US"/>
              </w:rPr>
              <m:t>п.р.</m:t>
            </m:r>
          </m:sub>
        </m:sSub>
      </m:oMath>
      <w:r w:rsidRPr="00B35439">
        <w:rPr>
          <w:lang w:eastAsia="en-US"/>
        </w:rPr>
        <w:t xml:space="preserve"> – розмір резерву заявлених, але не виплачених збитків, на кінець розрахункового періоду 1 та 31 грудня </w:t>
      </w:r>
      <w:r w:rsidRPr="00B35439">
        <w:rPr>
          <w:rFonts w:eastAsia="Calibri"/>
          <w:lang w:eastAsia="en-US"/>
        </w:rPr>
        <w:t xml:space="preserve">попереднього календарного року </w:t>
      </w:r>
      <w:r w:rsidRPr="00B35439">
        <w:rPr>
          <w:lang w:eastAsia="en-US"/>
        </w:rPr>
        <w:t>відповідно з урахуванням включених до цього резерву витрат на врегулювання збитків;</w:t>
      </w:r>
    </w:p>
    <w:p w14:paraId="4F7B3CEB" w14:textId="77777777" w:rsidR="00CD3F38" w:rsidRPr="00B35439" w:rsidRDefault="00AD09A2" w:rsidP="00CD3F38">
      <w:pPr>
        <w:widowControl w:val="0"/>
        <w:ind w:firstLine="709"/>
        <w:rPr>
          <w:lang w:eastAsia="en-US"/>
        </w:rPr>
      </w:pPr>
      <m:oMath>
        <m:sSub>
          <m:sSubPr>
            <m:ctrlPr>
              <w:rPr>
                <w:rFonts w:ascii="Cambria Math" w:hAnsi="Cambria Math"/>
                <w:lang w:eastAsia="en-US"/>
              </w:rPr>
            </m:ctrlPr>
          </m:sSubPr>
          <m:e>
            <m:r>
              <m:rPr>
                <m:sty m:val="p"/>
              </m:rPr>
              <w:rPr>
                <w:rFonts w:ascii="Cambria Math" w:hAnsi="Cambria Math"/>
                <w:lang w:eastAsia="en-US"/>
              </w:rPr>
              <m:t>IBNR</m:t>
            </m:r>
          </m:e>
          <m:sub>
            <m:r>
              <w:rPr>
                <w:rFonts w:ascii="Cambria Math" w:hAnsi="Cambria Math"/>
                <w:lang w:eastAsia="en-US"/>
              </w:rPr>
              <m:t>к</m:t>
            </m:r>
          </m:sub>
        </m:sSub>
        <m:r>
          <m:rPr>
            <m:sty m:val="p"/>
          </m:rPr>
          <w:rPr>
            <w:rFonts w:ascii="Cambria Math" w:hAnsi="Cambria Math"/>
            <w:lang w:eastAsia="en-US"/>
          </w:rPr>
          <m:t>,</m:t>
        </m:r>
        <m:sSub>
          <m:sSubPr>
            <m:ctrlPr>
              <w:rPr>
                <w:rFonts w:ascii="Cambria Math" w:hAnsi="Cambria Math"/>
                <w:lang w:eastAsia="en-US"/>
              </w:rPr>
            </m:ctrlPr>
          </m:sSubPr>
          <m:e>
            <m:r>
              <m:rPr>
                <m:sty m:val="p"/>
              </m:rPr>
              <w:rPr>
                <w:rFonts w:ascii="Cambria Math" w:hAnsi="Cambria Math"/>
                <w:lang w:eastAsia="en-US"/>
              </w:rPr>
              <m:t>IBNR</m:t>
            </m:r>
          </m:e>
          <m:sub>
            <m:r>
              <w:rPr>
                <w:rFonts w:ascii="Cambria Math" w:hAnsi="Cambria Math"/>
                <w:lang w:eastAsia="en-US"/>
              </w:rPr>
              <m:t>п.р.</m:t>
            </m:r>
          </m:sub>
        </m:sSub>
      </m:oMath>
      <w:r w:rsidR="00CD3F38" w:rsidRPr="00B35439">
        <w:rPr>
          <w:lang w:eastAsia="en-US"/>
        </w:rPr>
        <w:t xml:space="preserve"> – розмір резерву збитків, які виникли, але не заявлені, на кінець розрахункового періоду 1 та 31 грудня </w:t>
      </w:r>
      <w:r w:rsidR="00CD3F38" w:rsidRPr="00B35439">
        <w:rPr>
          <w:rFonts w:eastAsia="Calibri"/>
          <w:lang w:eastAsia="en-US"/>
        </w:rPr>
        <w:t>попереднього календарного року</w:t>
      </w:r>
      <w:r w:rsidR="00CD3F38" w:rsidRPr="00B35439">
        <w:rPr>
          <w:lang w:eastAsia="en-US"/>
        </w:rPr>
        <w:t xml:space="preserve"> відповідно з урахуванням включених до цього резерву витрат на врегулювання збитків;</w:t>
      </w:r>
    </w:p>
    <w:p w14:paraId="45DCD7D1" w14:textId="77777777" w:rsidR="00CD3F38" w:rsidRPr="00B35439" w:rsidRDefault="00AD09A2" w:rsidP="00CD3F38">
      <w:pPr>
        <w:widowControl w:val="0"/>
        <w:ind w:firstLine="709"/>
        <w:rPr>
          <w:lang w:eastAsia="en-US"/>
        </w:rPr>
      </w:pPr>
      <m:oMath>
        <m:sSubSup>
          <m:sSubSupPr>
            <m:ctrlPr>
              <w:rPr>
                <w:rFonts w:ascii="Cambria Math" w:hAnsi="Cambria Math"/>
                <w:lang w:eastAsia="en-US"/>
              </w:rPr>
            </m:ctrlPr>
          </m:sSubSupPr>
          <m:e>
            <m:r>
              <m:rPr>
                <m:sty m:val="p"/>
              </m:rPr>
              <w:rPr>
                <w:rFonts w:ascii="Cambria Math" w:hAnsi="Cambria Math"/>
                <w:lang w:eastAsia="en-US"/>
              </w:rPr>
              <m:t>RBNS</m:t>
            </m:r>
          </m:e>
          <m:sub>
            <m:r>
              <w:rPr>
                <w:rFonts w:ascii="Cambria Math" w:hAnsi="Cambria Math"/>
                <w:lang w:eastAsia="en-US"/>
              </w:rPr>
              <m:t>к</m:t>
            </m:r>
          </m:sub>
          <m:sup>
            <m:r>
              <w:rPr>
                <w:rFonts w:ascii="Cambria Math" w:hAnsi="Cambria Math"/>
                <w:lang w:eastAsia="en-US"/>
              </w:rPr>
              <m:t>re</m:t>
            </m:r>
          </m:sup>
        </m:sSubSup>
        <m:r>
          <m:rPr>
            <m:sty m:val="p"/>
          </m:rPr>
          <w:rPr>
            <w:rFonts w:ascii="Cambria Math" w:hAnsi="Cambria Math"/>
            <w:lang w:eastAsia="en-US"/>
          </w:rPr>
          <m:t>,</m:t>
        </m:r>
        <m:sSubSup>
          <m:sSubSupPr>
            <m:ctrlPr>
              <w:rPr>
                <w:rFonts w:ascii="Cambria Math" w:hAnsi="Cambria Math"/>
                <w:lang w:eastAsia="en-US"/>
              </w:rPr>
            </m:ctrlPr>
          </m:sSubSupPr>
          <m:e>
            <m:r>
              <m:rPr>
                <m:sty m:val="p"/>
              </m:rPr>
              <w:rPr>
                <w:rFonts w:ascii="Cambria Math" w:hAnsi="Cambria Math"/>
                <w:lang w:eastAsia="en-US"/>
              </w:rPr>
              <m:t>RBNS</m:t>
            </m:r>
          </m:e>
          <m:sub>
            <m:r>
              <w:rPr>
                <w:rFonts w:ascii="Cambria Math" w:hAnsi="Cambria Math"/>
                <w:lang w:eastAsia="en-US"/>
              </w:rPr>
              <m:t>п.р.</m:t>
            </m:r>
          </m:sub>
          <m:sup>
            <m:r>
              <w:rPr>
                <w:rFonts w:ascii="Cambria Math" w:hAnsi="Cambria Math"/>
                <w:lang w:eastAsia="en-US"/>
              </w:rPr>
              <m:t>re</m:t>
            </m:r>
          </m:sup>
        </m:sSubSup>
      </m:oMath>
      <w:r w:rsidR="00CD3F38" w:rsidRPr="00B35439">
        <w:rPr>
          <w:lang w:eastAsia="en-US"/>
        </w:rPr>
        <w:t xml:space="preserve"> – права вимоги до перестраховиків у резерві заявлених, але не виплачених збитків, на кінець розрахункового періоду 1 та 31 грудня </w:t>
      </w:r>
      <w:r w:rsidR="00CD3F38" w:rsidRPr="00B35439">
        <w:rPr>
          <w:rFonts w:eastAsia="Calibri"/>
          <w:lang w:eastAsia="en-US"/>
        </w:rPr>
        <w:t>попереднього календарного року</w:t>
      </w:r>
      <w:r w:rsidR="00CD3F38" w:rsidRPr="00B35439">
        <w:rPr>
          <w:lang w:eastAsia="en-US"/>
        </w:rPr>
        <w:t xml:space="preserve"> відповідно;</w:t>
      </w:r>
    </w:p>
    <w:p w14:paraId="2E5B2F0F" w14:textId="3E1CF89D" w:rsidR="00CD3F38" w:rsidRPr="00B35439" w:rsidRDefault="00AD09A2" w:rsidP="00922702">
      <w:pPr>
        <w:widowControl w:val="0"/>
        <w:ind w:firstLine="709"/>
      </w:pPr>
      <m:oMath>
        <m:sSubSup>
          <m:sSubSupPr>
            <m:ctrlPr>
              <w:rPr>
                <w:rFonts w:ascii="Cambria Math" w:hAnsi="Cambria Math"/>
                <w:lang w:eastAsia="en-US"/>
              </w:rPr>
            </m:ctrlPr>
          </m:sSubSupPr>
          <m:e>
            <m:r>
              <m:rPr>
                <m:sty m:val="p"/>
              </m:rPr>
              <w:rPr>
                <w:rFonts w:ascii="Cambria Math" w:hAnsi="Cambria Math"/>
                <w:lang w:eastAsia="en-US"/>
              </w:rPr>
              <m:t>IBNR</m:t>
            </m:r>
          </m:e>
          <m:sub>
            <m:r>
              <w:rPr>
                <w:rFonts w:ascii="Cambria Math" w:hAnsi="Cambria Math"/>
                <w:lang w:eastAsia="en-US"/>
              </w:rPr>
              <m:t>к</m:t>
            </m:r>
          </m:sub>
          <m:sup>
            <m:r>
              <w:rPr>
                <w:rFonts w:ascii="Cambria Math" w:hAnsi="Cambria Math"/>
                <w:lang w:eastAsia="en-US"/>
              </w:rPr>
              <m:t>re</m:t>
            </m:r>
          </m:sup>
        </m:sSubSup>
        <m:r>
          <m:rPr>
            <m:sty m:val="p"/>
          </m:rPr>
          <w:rPr>
            <w:rFonts w:ascii="Cambria Math" w:hAnsi="Cambria Math"/>
            <w:lang w:eastAsia="en-US"/>
          </w:rPr>
          <m:t>,</m:t>
        </m:r>
        <m:sSubSup>
          <m:sSubSupPr>
            <m:ctrlPr>
              <w:rPr>
                <w:rFonts w:ascii="Cambria Math" w:hAnsi="Cambria Math"/>
                <w:lang w:eastAsia="en-US"/>
              </w:rPr>
            </m:ctrlPr>
          </m:sSubSupPr>
          <m:e>
            <m:r>
              <m:rPr>
                <m:sty m:val="p"/>
              </m:rPr>
              <w:rPr>
                <w:rFonts w:ascii="Cambria Math" w:hAnsi="Cambria Math"/>
                <w:lang w:eastAsia="en-US"/>
              </w:rPr>
              <m:t>IBNR</m:t>
            </m:r>
          </m:e>
          <m:sub>
            <m:r>
              <w:rPr>
                <w:rFonts w:ascii="Cambria Math" w:hAnsi="Cambria Math"/>
                <w:lang w:eastAsia="en-US"/>
              </w:rPr>
              <m:t>п.р.</m:t>
            </m:r>
          </m:sub>
          <m:sup>
            <m:r>
              <w:rPr>
                <w:rFonts w:ascii="Cambria Math" w:hAnsi="Cambria Math"/>
                <w:lang w:eastAsia="en-US"/>
              </w:rPr>
              <m:t>re</m:t>
            </m:r>
          </m:sup>
        </m:sSubSup>
      </m:oMath>
      <w:r w:rsidR="00CD3F38" w:rsidRPr="00B35439">
        <w:rPr>
          <w:lang w:eastAsia="en-US"/>
        </w:rPr>
        <w:t xml:space="preserve"> – права вимоги до перестраховиків у резерві збитків, які виникли, але не заявлені, на кінець розрахункового періоду 1 та 31 грудня </w:t>
      </w:r>
      <w:r w:rsidR="00CD3F38" w:rsidRPr="00B35439">
        <w:rPr>
          <w:rFonts w:eastAsia="Calibri"/>
          <w:lang w:eastAsia="en-US"/>
        </w:rPr>
        <w:t>попереднього календарного року</w:t>
      </w:r>
      <w:r w:rsidR="00CD3F38" w:rsidRPr="00B35439">
        <w:rPr>
          <w:lang w:eastAsia="en-US"/>
        </w:rPr>
        <w:t xml:space="preserve"> відповідно.</w:t>
      </w:r>
    </w:p>
    <w:sectPr w:rsidR="00CD3F38" w:rsidRPr="00B35439" w:rsidSect="00DE61A2">
      <w:headerReference w:type="default" r:id="rId17"/>
      <w:pgSz w:w="11906" w:h="16838" w:code="9"/>
      <w:pgMar w:top="567" w:right="567" w:bottom="1701"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CC253" w14:textId="77777777" w:rsidR="00AD09A2" w:rsidRDefault="00AD09A2" w:rsidP="00E53CCD">
      <w:r>
        <w:separator/>
      </w:r>
    </w:p>
  </w:endnote>
  <w:endnote w:type="continuationSeparator" w:id="0">
    <w:p w14:paraId="1492E052" w14:textId="77777777" w:rsidR="00AD09A2" w:rsidRDefault="00AD09A2" w:rsidP="00E5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E906A" w14:textId="77777777" w:rsidR="00D110C9" w:rsidRPr="005C44F4" w:rsidRDefault="00D110C9" w:rsidP="005C44F4">
    <w:pPr>
      <w:pStyle w:val="a7"/>
      <w:jc w:val="right"/>
      <w:rPr>
        <w:color w:val="FFFFFF" w:themeColor="background1"/>
      </w:rPr>
    </w:pPr>
    <w:r w:rsidRPr="005C44F4">
      <w:rPr>
        <w:color w:val="FFFFFF" w:themeColor="background1"/>
      </w:rPr>
      <w:t>Шаблон</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495EC" w14:textId="77777777" w:rsidR="00AD09A2" w:rsidRDefault="00AD09A2" w:rsidP="00E53CCD">
      <w:r>
        <w:separator/>
      </w:r>
    </w:p>
  </w:footnote>
  <w:footnote w:type="continuationSeparator" w:id="0">
    <w:p w14:paraId="70616E9D" w14:textId="77777777" w:rsidR="00AD09A2" w:rsidRDefault="00AD09A2" w:rsidP="00E53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87531"/>
      <w:docPartObj>
        <w:docPartGallery w:val="Page Numbers (Top of Page)"/>
        <w:docPartUnique/>
      </w:docPartObj>
    </w:sdtPr>
    <w:sdtEndPr/>
    <w:sdtContent>
      <w:p w14:paraId="61E8BA0A" w14:textId="257D4669" w:rsidR="00D110C9" w:rsidRDefault="00D110C9">
        <w:pPr>
          <w:pStyle w:val="a5"/>
          <w:jc w:val="center"/>
        </w:pPr>
        <w:r>
          <w:fldChar w:fldCharType="begin"/>
        </w:r>
        <w:r>
          <w:instrText xml:space="preserve"> PAGE   \* MERGEFORMAT </w:instrText>
        </w:r>
        <w:r>
          <w:fldChar w:fldCharType="separate"/>
        </w:r>
        <w:r w:rsidR="00A63A5A">
          <w:rPr>
            <w:noProof/>
          </w:rPr>
          <w:t>30</w:t>
        </w:r>
        <w:r>
          <w:fldChar w:fldCharType="end"/>
        </w:r>
      </w:p>
      <w:p w14:paraId="3835FFDA" w14:textId="5E5BF32F" w:rsidR="00D110C9" w:rsidRDefault="00AD09A2" w:rsidP="0076159C">
        <w:pPr>
          <w:pStyle w:val="a5"/>
          <w:jc w:val="right"/>
        </w:pPr>
      </w:p>
    </w:sdtContent>
  </w:sdt>
  <w:p w14:paraId="0AA52F75" w14:textId="77777777" w:rsidR="00D110C9" w:rsidRDefault="00D110C9">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1487667"/>
      <w:docPartObj>
        <w:docPartGallery w:val="Page Numbers (Top of Page)"/>
        <w:docPartUnique/>
      </w:docPartObj>
    </w:sdtPr>
    <w:sdtEndPr/>
    <w:sdtContent>
      <w:p w14:paraId="5101941D" w14:textId="57F89346" w:rsidR="00D110C9" w:rsidRDefault="00D110C9">
        <w:pPr>
          <w:pStyle w:val="a5"/>
          <w:jc w:val="center"/>
        </w:pPr>
        <w:r>
          <w:fldChar w:fldCharType="begin"/>
        </w:r>
        <w:r>
          <w:instrText>PAGE   \* MERGEFORMAT</w:instrText>
        </w:r>
        <w:r>
          <w:fldChar w:fldCharType="separate"/>
        </w:r>
        <w:r w:rsidR="00A63A5A" w:rsidRPr="00A63A5A">
          <w:rPr>
            <w:noProof/>
            <w:lang w:val="ru-RU"/>
          </w:rPr>
          <w:t>2</w:t>
        </w:r>
        <w:r>
          <w:fldChar w:fldCharType="end"/>
        </w:r>
      </w:p>
    </w:sdtContent>
  </w:sdt>
  <w:p w14:paraId="449C0FDA" w14:textId="6D84C219" w:rsidR="00D110C9" w:rsidRDefault="00D110C9" w:rsidP="00CD3F38">
    <w:pPr>
      <w:jc w:val="right"/>
    </w:pPr>
    <w:r>
      <w:t>Продовження додатка 1</w:t>
    </w:r>
  </w:p>
  <w:p w14:paraId="3218E694" w14:textId="77777777" w:rsidR="00D110C9" w:rsidRDefault="00D110C9" w:rsidP="00CD3F38">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6761306"/>
      <w:docPartObj>
        <w:docPartGallery w:val="Page Numbers (Top of Page)"/>
        <w:docPartUnique/>
      </w:docPartObj>
    </w:sdtPr>
    <w:sdtEndPr/>
    <w:sdtContent>
      <w:p w14:paraId="6A033182" w14:textId="699DEC1B" w:rsidR="00D110C9" w:rsidRDefault="00D110C9">
        <w:pPr>
          <w:pStyle w:val="a5"/>
          <w:jc w:val="center"/>
        </w:pPr>
        <w:r>
          <w:fldChar w:fldCharType="begin"/>
        </w:r>
        <w:r>
          <w:instrText>PAGE   \* MERGEFORMAT</w:instrText>
        </w:r>
        <w:r>
          <w:fldChar w:fldCharType="separate"/>
        </w:r>
        <w:r w:rsidR="00A63A5A" w:rsidRPr="00A63A5A">
          <w:rPr>
            <w:noProof/>
            <w:lang w:val="ru-RU"/>
          </w:rPr>
          <w:t>4</w:t>
        </w:r>
        <w:r>
          <w:fldChar w:fldCharType="end"/>
        </w:r>
      </w:p>
    </w:sdtContent>
  </w:sdt>
  <w:p w14:paraId="178F291D" w14:textId="73C0D29A" w:rsidR="00D110C9" w:rsidRDefault="00D110C9" w:rsidP="00CD3F38">
    <w:pPr>
      <w:jc w:val="right"/>
    </w:pPr>
    <w:r>
      <w:t>Продовження додатка 2</w:t>
    </w:r>
  </w:p>
  <w:p w14:paraId="6A28EBB0" w14:textId="77777777" w:rsidR="00D110C9" w:rsidRDefault="00D110C9" w:rsidP="00CD3F38">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43BD2"/>
    <w:multiLevelType w:val="hybridMultilevel"/>
    <w:tmpl w:val="A28EA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57D93"/>
    <w:multiLevelType w:val="hybridMultilevel"/>
    <w:tmpl w:val="67BC04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15548"/>
    <w:multiLevelType w:val="hybridMultilevel"/>
    <w:tmpl w:val="02B2D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167437"/>
    <w:multiLevelType w:val="hybridMultilevel"/>
    <w:tmpl w:val="121404A4"/>
    <w:lvl w:ilvl="0" w:tplc="AD5AEF1E">
      <w:start w:val="1"/>
      <w:numFmt w:val="decimal"/>
      <w:lvlText w:val="%1."/>
      <w:lvlJc w:val="left"/>
      <w:pPr>
        <w:ind w:left="810" w:hanging="360"/>
      </w:pPr>
      <w:rPr>
        <w:rFonts w:hint="default"/>
      </w:rPr>
    </w:lvl>
    <w:lvl w:ilvl="1" w:tplc="198C62E8">
      <w:start w:val="1"/>
      <w:numFmt w:val="decimal"/>
      <w:lvlText w:val="%2)"/>
      <w:lvlJc w:val="left"/>
      <w:pPr>
        <w:ind w:left="1530" w:hanging="360"/>
      </w:pPr>
      <w:rPr>
        <w:rFonts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0F5905DD"/>
    <w:multiLevelType w:val="hybridMultilevel"/>
    <w:tmpl w:val="4008ECA2"/>
    <w:lvl w:ilvl="0" w:tplc="0422000F">
      <w:start w:val="1"/>
      <w:numFmt w:val="decimal"/>
      <w:lvlText w:val="%1."/>
      <w:lvlJc w:val="left"/>
      <w:pPr>
        <w:ind w:left="3905"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5" w15:restartNumberingAfterBreak="0">
    <w:nsid w:val="11F22427"/>
    <w:multiLevelType w:val="hybridMultilevel"/>
    <w:tmpl w:val="25D817B2"/>
    <w:lvl w:ilvl="0" w:tplc="634854D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12115B21"/>
    <w:multiLevelType w:val="hybridMultilevel"/>
    <w:tmpl w:val="1C1E1CFC"/>
    <w:lvl w:ilvl="0" w:tplc="26027AC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13473958"/>
    <w:multiLevelType w:val="hybridMultilevel"/>
    <w:tmpl w:val="CDD60B40"/>
    <w:lvl w:ilvl="0" w:tplc="EB98E2EA">
      <w:start w:val="1"/>
      <w:numFmt w:val="decimal"/>
      <w:lvlText w:val="%1)"/>
      <w:lvlJc w:val="left"/>
      <w:pPr>
        <w:ind w:left="1353" w:hanging="360"/>
      </w:pPr>
      <w:rPr>
        <w:rFonts w:eastAsiaTheme="minorHAnsi"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15E10495"/>
    <w:multiLevelType w:val="hybridMultilevel"/>
    <w:tmpl w:val="149C21A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8176671"/>
    <w:multiLevelType w:val="hybridMultilevel"/>
    <w:tmpl w:val="A920CF04"/>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1BE85A89"/>
    <w:multiLevelType w:val="hybridMultilevel"/>
    <w:tmpl w:val="9D8C6F28"/>
    <w:lvl w:ilvl="0" w:tplc="F88A781E">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803C5D"/>
    <w:multiLevelType w:val="hybridMultilevel"/>
    <w:tmpl w:val="B492F970"/>
    <w:lvl w:ilvl="0" w:tplc="FA9E3CDC">
      <w:start w:val="1"/>
      <w:numFmt w:val="upperRoman"/>
      <w:lvlText w:val="%1."/>
      <w:lvlJc w:val="left"/>
      <w:pPr>
        <w:ind w:left="1080" w:hanging="720"/>
      </w:pPr>
      <w:rPr>
        <w:rFonts w:hint="default"/>
        <w:b w:val="0"/>
      </w:rPr>
    </w:lvl>
    <w:lvl w:ilvl="1" w:tplc="8254499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703DA9"/>
    <w:multiLevelType w:val="hybridMultilevel"/>
    <w:tmpl w:val="18E68DA2"/>
    <w:lvl w:ilvl="0" w:tplc="0798C090">
      <w:start w:val="1"/>
      <w:numFmt w:val="decimal"/>
      <w:lvlText w:val="%1)"/>
      <w:lvlJc w:val="left"/>
      <w:pPr>
        <w:ind w:left="1429" w:hanging="360"/>
      </w:pPr>
      <w:rPr>
        <w:color w:val="auto"/>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1F8E3166"/>
    <w:multiLevelType w:val="hybridMultilevel"/>
    <w:tmpl w:val="26B0883A"/>
    <w:lvl w:ilvl="0" w:tplc="AB2C24D4">
      <w:start w:val="4"/>
      <w:numFmt w:val="decimal"/>
      <w:lvlText w:val="%1."/>
      <w:lvlJc w:val="left"/>
      <w:pPr>
        <w:ind w:left="7165"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925AE4"/>
    <w:multiLevelType w:val="hybridMultilevel"/>
    <w:tmpl w:val="3E384222"/>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24712FE3"/>
    <w:multiLevelType w:val="multilevel"/>
    <w:tmpl w:val="4724C7A0"/>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6" w15:restartNumberingAfterBreak="0">
    <w:nsid w:val="25E50068"/>
    <w:multiLevelType w:val="hybridMultilevel"/>
    <w:tmpl w:val="98544C70"/>
    <w:lvl w:ilvl="0" w:tplc="C0A63362">
      <w:start w:val="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815378"/>
    <w:multiLevelType w:val="multilevel"/>
    <w:tmpl w:val="FE42EEE2"/>
    <w:lvl w:ilvl="0">
      <w:start w:val="1"/>
      <w:numFmt w:val="decimal"/>
      <w:lvlText w:val="%1."/>
      <w:lvlJc w:val="left"/>
      <w:pPr>
        <w:ind w:left="1211" w:hanging="360"/>
      </w:pPr>
      <w:rPr>
        <w:rFonts w:ascii="Times New Roman" w:hAnsi="Times New Roman" w:cs="Times New Roman" w:hint="default"/>
        <w:b w:val="0"/>
        <w:color w:val="000000"/>
        <w:sz w:val="28"/>
        <w:szCs w:val="28"/>
        <w:u w:val="none"/>
        <w:lang w:val="uk-UA"/>
      </w:rPr>
    </w:lvl>
    <w:lvl w:ilvl="1">
      <w:start w:val="1"/>
      <w:numFmt w:val="decimal"/>
      <w:lvlText w:val="%2)"/>
      <w:lvlJc w:val="left"/>
      <w:pPr>
        <w:ind w:left="6000" w:hanging="360"/>
      </w:pPr>
      <w:rPr>
        <w:sz w:val="28"/>
        <w:szCs w:val="28"/>
      </w:rPr>
    </w:lvl>
    <w:lvl w:ilvl="2">
      <w:start w:val="1"/>
      <w:numFmt w:val="lowerRoman"/>
      <w:lvlText w:val="%3."/>
      <w:lvlJc w:val="right"/>
      <w:pPr>
        <w:ind w:left="6720" w:hanging="180"/>
      </w:pPr>
    </w:lvl>
    <w:lvl w:ilvl="3">
      <w:start w:val="1"/>
      <w:numFmt w:val="decimal"/>
      <w:lvlText w:val="%4."/>
      <w:lvlJc w:val="left"/>
      <w:pPr>
        <w:ind w:left="7440" w:hanging="360"/>
      </w:pPr>
    </w:lvl>
    <w:lvl w:ilvl="4">
      <w:start w:val="1"/>
      <w:numFmt w:val="lowerLetter"/>
      <w:lvlText w:val="%5."/>
      <w:lvlJc w:val="left"/>
      <w:pPr>
        <w:ind w:left="8160" w:hanging="360"/>
      </w:pPr>
    </w:lvl>
    <w:lvl w:ilvl="5">
      <w:start w:val="1"/>
      <w:numFmt w:val="lowerRoman"/>
      <w:lvlText w:val="%6."/>
      <w:lvlJc w:val="right"/>
      <w:pPr>
        <w:ind w:left="8880" w:hanging="180"/>
      </w:pPr>
    </w:lvl>
    <w:lvl w:ilvl="6">
      <w:start w:val="1"/>
      <w:numFmt w:val="decimal"/>
      <w:lvlText w:val="%7."/>
      <w:lvlJc w:val="left"/>
      <w:pPr>
        <w:ind w:left="9600" w:hanging="360"/>
      </w:pPr>
    </w:lvl>
    <w:lvl w:ilvl="7">
      <w:start w:val="1"/>
      <w:numFmt w:val="lowerLetter"/>
      <w:lvlText w:val="%8."/>
      <w:lvlJc w:val="left"/>
      <w:pPr>
        <w:ind w:left="10320" w:hanging="360"/>
      </w:pPr>
    </w:lvl>
    <w:lvl w:ilvl="8">
      <w:start w:val="1"/>
      <w:numFmt w:val="lowerRoman"/>
      <w:lvlText w:val="%9."/>
      <w:lvlJc w:val="right"/>
      <w:pPr>
        <w:ind w:left="11040" w:hanging="180"/>
      </w:pPr>
    </w:lvl>
  </w:abstractNum>
  <w:abstractNum w:abstractNumId="18" w15:restartNumberingAfterBreak="0">
    <w:nsid w:val="27633311"/>
    <w:multiLevelType w:val="hybridMultilevel"/>
    <w:tmpl w:val="ABFC89D4"/>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28DE0A79"/>
    <w:multiLevelType w:val="hybridMultilevel"/>
    <w:tmpl w:val="A920CF04"/>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2A7740F2"/>
    <w:multiLevelType w:val="multilevel"/>
    <w:tmpl w:val="102CC71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1" w15:restartNumberingAfterBreak="0">
    <w:nsid w:val="2B1B7003"/>
    <w:multiLevelType w:val="hybridMultilevel"/>
    <w:tmpl w:val="BA3ACE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2D0E1E7C"/>
    <w:multiLevelType w:val="multilevel"/>
    <w:tmpl w:val="4724C7A0"/>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3" w15:restartNumberingAfterBreak="0">
    <w:nsid w:val="33D940C4"/>
    <w:multiLevelType w:val="hybridMultilevel"/>
    <w:tmpl w:val="A920CF04"/>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15:restartNumberingAfterBreak="0">
    <w:nsid w:val="342F286E"/>
    <w:multiLevelType w:val="hybridMultilevel"/>
    <w:tmpl w:val="86F0243C"/>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5" w15:restartNumberingAfterBreak="0">
    <w:nsid w:val="34641121"/>
    <w:multiLevelType w:val="hybridMultilevel"/>
    <w:tmpl w:val="A28EA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8458B8"/>
    <w:multiLevelType w:val="hybridMultilevel"/>
    <w:tmpl w:val="BAD4F176"/>
    <w:lvl w:ilvl="0" w:tplc="198C62E8">
      <w:start w:val="1"/>
      <w:numFmt w:val="decimal"/>
      <w:lvlText w:val="%1)"/>
      <w:lvlJc w:val="left"/>
      <w:pPr>
        <w:ind w:left="1069"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35CC06CE"/>
    <w:multiLevelType w:val="hybridMultilevel"/>
    <w:tmpl w:val="838E676C"/>
    <w:lvl w:ilvl="0" w:tplc="7786BD02">
      <w:start w:val="1"/>
      <w:numFmt w:val="decimal"/>
      <w:lvlText w:val="%1)"/>
      <w:lvlJc w:val="left"/>
      <w:pPr>
        <w:ind w:left="1117" w:hanging="408"/>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37446D5C"/>
    <w:multiLevelType w:val="hybridMultilevel"/>
    <w:tmpl w:val="9D8C6F28"/>
    <w:lvl w:ilvl="0" w:tplc="F88A781E">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745796"/>
    <w:multiLevelType w:val="hybridMultilevel"/>
    <w:tmpl w:val="D44AD2D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0" w15:restartNumberingAfterBreak="0">
    <w:nsid w:val="3ADB21CD"/>
    <w:multiLevelType w:val="hybridMultilevel"/>
    <w:tmpl w:val="0E8C7A80"/>
    <w:lvl w:ilvl="0" w:tplc="E5E4EAC0">
      <w:start w:val="1"/>
      <w:numFmt w:val="decimal"/>
      <w:lvlText w:val="%1)"/>
      <w:lvlJc w:val="left"/>
      <w:pPr>
        <w:ind w:left="1440" w:hanging="360"/>
      </w:pPr>
      <w:rPr>
        <w:rFonts w:ascii="Times New Roman" w:hAnsi="Times New Roman" w:cs="Times New Roman" w:hint="default"/>
        <w:sz w:val="28"/>
        <w:szCs w:val="2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531A5321"/>
    <w:multiLevelType w:val="hybridMultilevel"/>
    <w:tmpl w:val="3444A394"/>
    <w:lvl w:ilvl="0" w:tplc="B3044200">
      <w:start w:val="1"/>
      <w:numFmt w:val="upperRoman"/>
      <w:lvlText w:val="%1."/>
      <w:lvlJc w:val="left"/>
      <w:pPr>
        <w:ind w:left="1080" w:hanging="720"/>
      </w:pPr>
      <w:rPr>
        <w:rFonts w:hint="default"/>
      </w:rPr>
    </w:lvl>
    <w:lvl w:ilvl="1" w:tplc="8254499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A72A98"/>
    <w:multiLevelType w:val="hybridMultilevel"/>
    <w:tmpl w:val="1C1E1CFC"/>
    <w:lvl w:ilvl="0" w:tplc="26027AC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560C5C38"/>
    <w:multiLevelType w:val="hybridMultilevel"/>
    <w:tmpl w:val="6C601CA2"/>
    <w:lvl w:ilvl="0" w:tplc="0966D03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8C7601"/>
    <w:multiLevelType w:val="hybridMultilevel"/>
    <w:tmpl w:val="A920CF04"/>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57E40597"/>
    <w:multiLevelType w:val="hybridMultilevel"/>
    <w:tmpl w:val="978EB798"/>
    <w:lvl w:ilvl="0" w:tplc="CDFE04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324E73"/>
    <w:multiLevelType w:val="hybridMultilevel"/>
    <w:tmpl w:val="6366E0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216705"/>
    <w:multiLevelType w:val="hybridMultilevel"/>
    <w:tmpl w:val="E0A0F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951CCE"/>
    <w:multiLevelType w:val="hybridMultilevel"/>
    <w:tmpl w:val="84808CAA"/>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9" w15:restartNumberingAfterBreak="0">
    <w:nsid w:val="691B7FA1"/>
    <w:multiLevelType w:val="multilevel"/>
    <w:tmpl w:val="C434740A"/>
    <w:lvl w:ilvl="0">
      <w:start w:val="1"/>
      <w:numFmt w:val="decimal"/>
      <w:lvlText w:val="%1."/>
      <w:lvlJc w:val="left"/>
      <w:pPr>
        <w:ind w:left="2769" w:hanging="360"/>
      </w:pPr>
      <w:rPr>
        <w:rFonts w:ascii="Times New Roman" w:hAnsi="Times New Roman" w:cs="Times New Roman" w:hint="default"/>
        <w:color w:val="auto"/>
        <w:sz w:val="28"/>
        <w:szCs w:val="28"/>
      </w:rPr>
    </w:lvl>
    <w:lvl w:ilvl="1">
      <w:start w:val="1"/>
      <w:numFmt w:val="decimal"/>
      <w:lvlText w:val="%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720" w:hanging="2160"/>
      </w:pPr>
      <w:rPr>
        <w:rFonts w:hint="default"/>
      </w:rPr>
    </w:lvl>
  </w:abstractNum>
  <w:abstractNum w:abstractNumId="40" w15:restartNumberingAfterBreak="0">
    <w:nsid w:val="695F2CC5"/>
    <w:multiLevelType w:val="hybridMultilevel"/>
    <w:tmpl w:val="0FE2CE22"/>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1" w15:restartNumberingAfterBreak="0">
    <w:nsid w:val="6C7510E3"/>
    <w:multiLevelType w:val="hybridMultilevel"/>
    <w:tmpl w:val="BF14ECF2"/>
    <w:lvl w:ilvl="0" w:tplc="E12E2F6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71DC6351"/>
    <w:multiLevelType w:val="hybridMultilevel"/>
    <w:tmpl w:val="FAEA754E"/>
    <w:lvl w:ilvl="0" w:tplc="4B9C1B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74047DB7"/>
    <w:multiLevelType w:val="hybridMultilevel"/>
    <w:tmpl w:val="777E7B00"/>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4" w15:restartNumberingAfterBreak="0">
    <w:nsid w:val="74E94D16"/>
    <w:multiLevelType w:val="hybridMultilevel"/>
    <w:tmpl w:val="E208D6B0"/>
    <w:lvl w:ilvl="0" w:tplc="2B165360">
      <w:start w:val="1"/>
      <w:numFmt w:val="decimal"/>
      <w:lvlText w:val="%1)"/>
      <w:lvlJc w:val="left"/>
      <w:pPr>
        <w:ind w:left="6882"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5" w15:restartNumberingAfterBreak="0">
    <w:nsid w:val="7D881BFB"/>
    <w:multiLevelType w:val="multilevel"/>
    <w:tmpl w:val="4724C7A0"/>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46" w15:restartNumberingAfterBreak="0">
    <w:nsid w:val="7F6E048B"/>
    <w:multiLevelType w:val="hybridMultilevel"/>
    <w:tmpl w:val="0BF86E6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9"/>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39"/>
  </w:num>
  <w:num w:numId="5">
    <w:abstractNumId w:val="3"/>
  </w:num>
  <w:num w:numId="6">
    <w:abstractNumId w:val="44"/>
  </w:num>
  <w:num w:numId="7">
    <w:abstractNumId w:val="27"/>
  </w:num>
  <w:num w:numId="8">
    <w:abstractNumId w:val="5"/>
  </w:num>
  <w:num w:numId="9">
    <w:abstractNumId w:val="30"/>
  </w:num>
  <w:num w:numId="10">
    <w:abstractNumId w:val="26"/>
  </w:num>
  <w:num w:numId="11">
    <w:abstractNumId w:val="32"/>
  </w:num>
  <w:num w:numId="12">
    <w:abstractNumId w:val="41"/>
  </w:num>
  <w:num w:numId="13">
    <w:abstractNumId w:val="38"/>
  </w:num>
  <w:num w:numId="14">
    <w:abstractNumId w:val="42"/>
  </w:num>
  <w:num w:numId="15">
    <w:abstractNumId w:val="11"/>
  </w:num>
  <w:num w:numId="16">
    <w:abstractNumId w:val="13"/>
  </w:num>
  <w:num w:numId="17">
    <w:abstractNumId w:val="18"/>
  </w:num>
  <w:num w:numId="18">
    <w:abstractNumId w:val="40"/>
  </w:num>
  <w:num w:numId="19">
    <w:abstractNumId w:val="14"/>
  </w:num>
  <w:num w:numId="20">
    <w:abstractNumId w:val="6"/>
  </w:num>
  <w:num w:numId="21">
    <w:abstractNumId w:val="34"/>
  </w:num>
  <w:num w:numId="22">
    <w:abstractNumId w:val="23"/>
  </w:num>
  <w:num w:numId="23">
    <w:abstractNumId w:val="19"/>
  </w:num>
  <w:num w:numId="24">
    <w:abstractNumId w:val="9"/>
  </w:num>
  <w:num w:numId="25">
    <w:abstractNumId w:val="33"/>
  </w:num>
  <w:num w:numId="26">
    <w:abstractNumId w:val="36"/>
  </w:num>
  <w:num w:numId="27">
    <w:abstractNumId w:val="16"/>
  </w:num>
  <w:num w:numId="28">
    <w:abstractNumId w:val="25"/>
  </w:num>
  <w:num w:numId="29">
    <w:abstractNumId w:val="1"/>
  </w:num>
  <w:num w:numId="30">
    <w:abstractNumId w:val="35"/>
  </w:num>
  <w:num w:numId="31">
    <w:abstractNumId w:val="17"/>
  </w:num>
  <w:num w:numId="32">
    <w:abstractNumId w:val="20"/>
  </w:num>
  <w:num w:numId="33">
    <w:abstractNumId w:val="45"/>
  </w:num>
  <w:num w:numId="34">
    <w:abstractNumId w:val="46"/>
  </w:num>
  <w:num w:numId="35">
    <w:abstractNumId w:val="15"/>
  </w:num>
  <w:num w:numId="36">
    <w:abstractNumId w:val="8"/>
  </w:num>
  <w:num w:numId="37">
    <w:abstractNumId w:val="7"/>
  </w:num>
  <w:num w:numId="38">
    <w:abstractNumId w:val="12"/>
  </w:num>
  <w:num w:numId="39">
    <w:abstractNumId w:val="37"/>
  </w:num>
  <w:num w:numId="40">
    <w:abstractNumId w:val="21"/>
  </w:num>
  <w:num w:numId="41">
    <w:abstractNumId w:val="2"/>
  </w:num>
  <w:num w:numId="42">
    <w:abstractNumId w:val="0"/>
  </w:num>
  <w:num w:numId="43">
    <w:abstractNumId w:val="28"/>
  </w:num>
  <w:num w:numId="44">
    <w:abstractNumId w:val="10"/>
  </w:num>
  <w:num w:numId="45">
    <w:abstractNumId w:val="43"/>
  </w:num>
  <w:num w:numId="46">
    <w:abstractNumId w:val="22"/>
  </w:num>
  <w:num w:numId="47">
    <w:abstractNumId w:val="4"/>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hyphenationZone w:val="425"/>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128"/>
    <w:rsid w:val="00004C10"/>
    <w:rsid w:val="000064FA"/>
    <w:rsid w:val="000069AF"/>
    <w:rsid w:val="00007D79"/>
    <w:rsid w:val="000101A7"/>
    <w:rsid w:val="00011FFA"/>
    <w:rsid w:val="00015CF3"/>
    <w:rsid w:val="00015FDE"/>
    <w:rsid w:val="00016274"/>
    <w:rsid w:val="00017138"/>
    <w:rsid w:val="0003331E"/>
    <w:rsid w:val="000342A5"/>
    <w:rsid w:val="0003793C"/>
    <w:rsid w:val="000543C6"/>
    <w:rsid w:val="000600A8"/>
    <w:rsid w:val="00061C52"/>
    <w:rsid w:val="00063480"/>
    <w:rsid w:val="000638F2"/>
    <w:rsid w:val="00071B91"/>
    <w:rsid w:val="00077162"/>
    <w:rsid w:val="00081C69"/>
    <w:rsid w:val="0008788C"/>
    <w:rsid w:val="000917C6"/>
    <w:rsid w:val="00097538"/>
    <w:rsid w:val="000A3C9D"/>
    <w:rsid w:val="000B2990"/>
    <w:rsid w:val="000B692B"/>
    <w:rsid w:val="000C5121"/>
    <w:rsid w:val="000C69D3"/>
    <w:rsid w:val="000D778F"/>
    <w:rsid w:val="000E0CB3"/>
    <w:rsid w:val="000E4494"/>
    <w:rsid w:val="000E4FD8"/>
    <w:rsid w:val="000E5B8C"/>
    <w:rsid w:val="000E5C1D"/>
    <w:rsid w:val="000E7A13"/>
    <w:rsid w:val="00100246"/>
    <w:rsid w:val="00101D5A"/>
    <w:rsid w:val="00106229"/>
    <w:rsid w:val="0011089E"/>
    <w:rsid w:val="00110FFD"/>
    <w:rsid w:val="00112452"/>
    <w:rsid w:val="001156A4"/>
    <w:rsid w:val="00115ECF"/>
    <w:rsid w:val="001631E2"/>
    <w:rsid w:val="0016366E"/>
    <w:rsid w:val="00164390"/>
    <w:rsid w:val="001716B0"/>
    <w:rsid w:val="001740C0"/>
    <w:rsid w:val="00177666"/>
    <w:rsid w:val="00186F82"/>
    <w:rsid w:val="00190E1A"/>
    <w:rsid w:val="001A0EE5"/>
    <w:rsid w:val="001A16FA"/>
    <w:rsid w:val="001A4CB9"/>
    <w:rsid w:val="001A6795"/>
    <w:rsid w:val="001C1291"/>
    <w:rsid w:val="001C206C"/>
    <w:rsid w:val="001D487A"/>
    <w:rsid w:val="001E17DA"/>
    <w:rsid w:val="001E5F31"/>
    <w:rsid w:val="001F3E52"/>
    <w:rsid w:val="002021CC"/>
    <w:rsid w:val="00212707"/>
    <w:rsid w:val="00215A67"/>
    <w:rsid w:val="002238D1"/>
    <w:rsid w:val="00224D16"/>
    <w:rsid w:val="00225521"/>
    <w:rsid w:val="0023173F"/>
    <w:rsid w:val="00233F37"/>
    <w:rsid w:val="00241373"/>
    <w:rsid w:val="00244503"/>
    <w:rsid w:val="002472B3"/>
    <w:rsid w:val="00253801"/>
    <w:rsid w:val="00253BF9"/>
    <w:rsid w:val="00255905"/>
    <w:rsid w:val="0025594D"/>
    <w:rsid w:val="00261870"/>
    <w:rsid w:val="00261C73"/>
    <w:rsid w:val="002632F1"/>
    <w:rsid w:val="00264983"/>
    <w:rsid w:val="00266678"/>
    <w:rsid w:val="00272319"/>
    <w:rsid w:val="00273642"/>
    <w:rsid w:val="00273796"/>
    <w:rsid w:val="002760D0"/>
    <w:rsid w:val="00276988"/>
    <w:rsid w:val="00280DCC"/>
    <w:rsid w:val="00282F08"/>
    <w:rsid w:val="00285DDA"/>
    <w:rsid w:val="00290169"/>
    <w:rsid w:val="00291574"/>
    <w:rsid w:val="00294B85"/>
    <w:rsid w:val="002A2391"/>
    <w:rsid w:val="002B20E9"/>
    <w:rsid w:val="002B351E"/>
    <w:rsid w:val="002B3F71"/>
    <w:rsid w:val="002B582B"/>
    <w:rsid w:val="002B59E6"/>
    <w:rsid w:val="002C1BB8"/>
    <w:rsid w:val="002C1FDB"/>
    <w:rsid w:val="002D01F1"/>
    <w:rsid w:val="002D1790"/>
    <w:rsid w:val="002E10DF"/>
    <w:rsid w:val="002E24F6"/>
    <w:rsid w:val="002E61F8"/>
    <w:rsid w:val="002F48EF"/>
    <w:rsid w:val="002F6376"/>
    <w:rsid w:val="00303CDB"/>
    <w:rsid w:val="00304C39"/>
    <w:rsid w:val="00312BC8"/>
    <w:rsid w:val="00312E22"/>
    <w:rsid w:val="00321EDB"/>
    <w:rsid w:val="003271EB"/>
    <w:rsid w:val="0032799C"/>
    <w:rsid w:val="00331A3A"/>
    <w:rsid w:val="00332701"/>
    <w:rsid w:val="00337368"/>
    <w:rsid w:val="00340D07"/>
    <w:rsid w:val="00341185"/>
    <w:rsid w:val="00345982"/>
    <w:rsid w:val="00347BAF"/>
    <w:rsid w:val="00356E34"/>
    <w:rsid w:val="00357676"/>
    <w:rsid w:val="00376128"/>
    <w:rsid w:val="00383237"/>
    <w:rsid w:val="0038385E"/>
    <w:rsid w:val="00384F65"/>
    <w:rsid w:val="0039725C"/>
    <w:rsid w:val="003A0B49"/>
    <w:rsid w:val="003A16E7"/>
    <w:rsid w:val="003A751F"/>
    <w:rsid w:val="003C3282"/>
    <w:rsid w:val="003C3985"/>
    <w:rsid w:val="003C5004"/>
    <w:rsid w:val="003D3CA1"/>
    <w:rsid w:val="003D43BF"/>
    <w:rsid w:val="003D510A"/>
    <w:rsid w:val="003D6B33"/>
    <w:rsid w:val="003F0441"/>
    <w:rsid w:val="003F060B"/>
    <w:rsid w:val="003F1DA0"/>
    <w:rsid w:val="003F28B5"/>
    <w:rsid w:val="003F7093"/>
    <w:rsid w:val="00401EDB"/>
    <w:rsid w:val="00402C34"/>
    <w:rsid w:val="00404C93"/>
    <w:rsid w:val="00407877"/>
    <w:rsid w:val="00407B4C"/>
    <w:rsid w:val="00407D24"/>
    <w:rsid w:val="004130B9"/>
    <w:rsid w:val="004206BE"/>
    <w:rsid w:val="0042193B"/>
    <w:rsid w:val="00431B78"/>
    <w:rsid w:val="00432FB8"/>
    <w:rsid w:val="00442A6D"/>
    <w:rsid w:val="0044329D"/>
    <w:rsid w:val="00446704"/>
    <w:rsid w:val="00453DC3"/>
    <w:rsid w:val="00455AD4"/>
    <w:rsid w:val="00455B45"/>
    <w:rsid w:val="00460BA2"/>
    <w:rsid w:val="00461BB8"/>
    <w:rsid w:val="004666D6"/>
    <w:rsid w:val="0047033C"/>
    <w:rsid w:val="00476B3D"/>
    <w:rsid w:val="004872B2"/>
    <w:rsid w:val="00493FA2"/>
    <w:rsid w:val="00496A2A"/>
    <w:rsid w:val="004A1CFC"/>
    <w:rsid w:val="004A56EA"/>
    <w:rsid w:val="004A6DB6"/>
    <w:rsid w:val="004A7F75"/>
    <w:rsid w:val="004B1FE9"/>
    <w:rsid w:val="004B291D"/>
    <w:rsid w:val="004B5574"/>
    <w:rsid w:val="004D2B57"/>
    <w:rsid w:val="004E1D6E"/>
    <w:rsid w:val="004E22E2"/>
    <w:rsid w:val="004E5A29"/>
    <w:rsid w:val="00500D96"/>
    <w:rsid w:val="0050563F"/>
    <w:rsid w:val="00514655"/>
    <w:rsid w:val="00514D61"/>
    <w:rsid w:val="00520123"/>
    <w:rsid w:val="005212C5"/>
    <w:rsid w:val="0052174C"/>
    <w:rsid w:val="00522675"/>
    <w:rsid w:val="00523C13"/>
    <w:rsid w:val="00524F07"/>
    <w:rsid w:val="005257C2"/>
    <w:rsid w:val="00532633"/>
    <w:rsid w:val="00532F0F"/>
    <w:rsid w:val="005403F1"/>
    <w:rsid w:val="00542533"/>
    <w:rsid w:val="0055164A"/>
    <w:rsid w:val="00557A18"/>
    <w:rsid w:val="005624B6"/>
    <w:rsid w:val="00562587"/>
    <w:rsid w:val="00562A2D"/>
    <w:rsid w:val="00562C46"/>
    <w:rsid w:val="0057237F"/>
    <w:rsid w:val="005742FE"/>
    <w:rsid w:val="00577402"/>
    <w:rsid w:val="005822CB"/>
    <w:rsid w:val="00597212"/>
    <w:rsid w:val="00597AB6"/>
    <w:rsid w:val="005A0F4B"/>
    <w:rsid w:val="005A1D3C"/>
    <w:rsid w:val="005A3F34"/>
    <w:rsid w:val="005B2D03"/>
    <w:rsid w:val="005B7976"/>
    <w:rsid w:val="005C44F4"/>
    <w:rsid w:val="005C5CBF"/>
    <w:rsid w:val="005D3B88"/>
    <w:rsid w:val="005D45F5"/>
    <w:rsid w:val="005D56E3"/>
    <w:rsid w:val="005E10B5"/>
    <w:rsid w:val="005E16D7"/>
    <w:rsid w:val="005E3FA8"/>
    <w:rsid w:val="005E7082"/>
    <w:rsid w:val="005E7AE3"/>
    <w:rsid w:val="005F3B81"/>
    <w:rsid w:val="005F442D"/>
    <w:rsid w:val="005F4CB4"/>
    <w:rsid w:val="005F7EDB"/>
    <w:rsid w:val="006002BE"/>
    <w:rsid w:val="00600CC2"/>
    <w:rsid w:val="0061050C"/>
    <w:rsid w:val="006123E0"/>
    <w:rsid w:val="0061337F"/>
    <w:rsid w:val="00613F67"/>
    <w:rsid w:val="0063223B"/>
    <w:rsid w:val="00640612"/>
    <w:rsid w:val="0064227D"/>
    <w:rsid w:val="0065179F"/>
    <w:rsid w:val="00657593"/>
    <w:rsid w:val="00670C95"/>
    <w:rsid w:val="006755D6"/>
    <w:rsid w:val="00676D6A"/>
    <w:rsid w:val="00683C9D"/>
    <w:rsid w:val="006843D4"/>
    <w:rsid w:val="00686049"/>
    <w:rsid w:val="00687CBA"/>
    <w:rsid w:val="006925CE"/>
    <w:rsid w:val="00692C8C"/>
    <w:rsid w:val="00694EA7"/>
    <w:rsid w:val="006A50F8"/>
    <w:rsid w:val="006B2748"/>
    <w:rsid w:val="006B3CEA"/>
    <w:rsid w:val="006B465F"/>
    <w:rsid w:val="006C06A1"/>
    <w:rsid w:val="006C0F22"/>
    <w:rsid w:val="006C13B1"/>
    <w:rsid w:val="006C2B53"/>
    <w:rsid w:val="006C3CCE"/>
    <w:rsid w:val="006C3F10"/>
    <w:rsid w:val="006C4176"/>
    <w:rsid w:val="006C66EF"/>
    <w:rsid w:val="006D2617"/>
    <w:rsid w:val="006D5D2D"/>
    <w:rsid w:val="006D700F"/>
    <w:rsid w:val="006E5313"/>
    <w:rsid w:val="006F3FFD"/>
    <w:rsid w:val="00700AA3"/>
    <w:rsid w:val="00703299"/>
    <w:rsid w:val="007059E0"/>
    <w:rsid w:val="00706545"/>
    <w:rsid w:val="007142BA"/>
    <w:rsid w:val="00714606"/>
    <w:rsid w:val="00714823"/>
    <w:rsid w:val="00717197"/>
    <w:rsid w:val="0071789F"/>
    <w:rsid w:val="00730088"/>
    <w:rsid w:val="00736C98"/>
    <w:rsid w:val="007408A1"/>
    <w:rsid w:val="00746385"/>
    <w:rsid w:val="00747222"/>
    <w:rsid w:val="00750442"/>
    <w:rsid w:val="00750898"/>
    <w:rsid w:val="0076159C"/>
    <w:rsid w:val="007622BC"/>
    <w:rsid w:val="007623C7"/>
    <w:rsid w:val="00773559"/>
    <w:rsid w:val="00774418"/>
    <w:rsid w:val="0078127A"/>
    <w:rsid w:val="00782CD3"/>
    <w:rsid w:val="00783AF2"/>
    <w:rsid w:val="00786EF4"/>
    <w:rsid w:val="00787E46"/>
    <w:rsid w:val="00796B70"/>
    <w:rsid w:val="007A13B9"/>
    <w:rsid w:val="007A5F8A"/>
    <w:rsid w:val="007A6609"/>
    <w:rsid w:val="007A7C2C"/>
    <w:rsid w:val="007B42DF"/>
    <w:rsid w:val="007B6416"/>
    <w:rsid w:val="007B7B73"/>
    <w:rsid w:val="007C2CED"/>
    <w:rsid w:val="007C4D38"/>
    <w:rsid w:val="007F4880"/>
    <w:rsid w:val="00801DFC"/>
    <w:rsid w:val="00802988"/>
    <w:rsid w:val="008218DD"/>
    <w:rsid w:val="00825CC3"/>
    <w:rsid w:val="008415A0"/>
    <w:rsid w:val="00850B80"/>
    <w:rsid w:val="0085364B"/>
    <w:rsid w:val="00854F21"/>
    <w:rsid w:val="00857483"/>
    <w:rsid w:val="00860368"/>
    <w:rsid w:val="0086348E"/>
    <w:rsid w:val="00866993"/>
    <w:rsid w:val="00871E3F"/>
    <w:rsid w:val="00874366"/>
    <w:rsid w:val="008762D8"/>
    <w:rsid w:val="00883EDC"/>
    <w:rsid w:val="0088719C"/>
    <w:rsid w:val="00897035"/>
    <w:rsid w:val="008A22A0"/>
    <w:rsid w:val="008A5863"/>
    <w:rsid w:val="008A72B4"/>
    <w:rsid w:val="008B1589"/>
    <w:rsid w:val="008B186B"/>
    <w:rsid w:val="008B5FB2"/>
    <w:rsid w:val="008B74DD"/>
    <w:rsid w:val="008C72B5"/>
    <w:rsid w:val="008D10FD"/>
    <w:rsid w:val="008D122F"/>
    <w:rsid w:val="008D5F60"/>
    <w:rsid w:val="008D711F"/>
    <w:rsid w:val="008D727F"/>
    <w:rsid w:val="008E5ADC"/>
    <w:rsid w:val="008F0210"/>
    <w:rsid w:val="008F08CE"/>
    <w:rsid w:val="008F2600"/>
    <w:rsid w:val="008F5D52"/>
    <w:rsid w:val="00904F17"/>
    <w:rsid w:val="00913400"/>
    <w:rsid w:val="009138DA"/>
    <w:rsid w:val="009167A4"/>
    <w:rsid w:val="00921DCA"/>
    <w:rsid w:val="00922702"/>
    <w:rsid w:val="00922966"/>
    <w:rsid w:val="009233AB"/>
    <w:rsid w:val="0092710A"/>
    <w:rsid w:val="009322FC"/>
    <w:rsid w:val="00937AE3"/>
    <w:rsid w:val="00937D24"/>
    <w:rsid w:val="00941A83"/>
    <w:rsid w:val="00943175"/>
    <w:rsid w:val="009515A1"/>
    <w:rsid w:val="0095741D"/>
    <w:rsid w:val="00967849"/>
    <w:rsid w:val="0097288F"/>
    <w:rsid w:val="0098207E"/>
    <w:rsid w:val="00987A41"/>
    <w:rsid w:val="00990AAE"/>
    <w:rsid w:val="00995F86"/>
    <w:rsid w:val="00996FBB"/>
    <w:rsid w:val="00997562"/>
    <w:rsid w:val="009A0BB1"/>
    <w:rsid w:val="009A7F9F"/>
    <w:rsid w:val="009B2928"/>
    <w:rsid w:val="009B3298"/>
    <w:rsid w:val="009B6120"/>
    <w:rsid w:val="009C1AC8"/>
    <w:rsid w:val="009C2F76"/>
    <w:rsid w:val="009E4883"/>
    <w:rsid w:val="009F5312"/>
    <w:rsid w:val="009F642B"/>
    <w:rsid w:val="00A02AEC"/>
    <w:rsid w:val="00A0594A"/>
    <w:rsid w:val="00A12C47"/>
    <w:rsid w:val="00A16CFF"/>
    <w:rsid w:val="00A17B68"/>
    <w:rsid w:val="00A23E04"/>
    <w:rsid w:val="00A322A5"/>
    <w:rsid w:val="00A325DD"/>
    <w:rsid w:val="00A32761"/>
    <w:rsid w:val="00A33F05"/>
    <w:rsid w:val="00A36378"/>
    <w:rsid w:val="00A41E61"/>
    <w:rsid w:val="00A46256"/>
    <w:rsid w:val="00A46C15"/>
    <w:rsid w:val="00A47236"/>
    <w:rsid w:val="00A50DC0"/>
    <w:rsid w:val="00A63695"/>
    <w:rsid w:val="00A63A5A"/>
    <w:rsid w:val="00A72F06"/>
    <w:rsid w:val="00A730F2"/>
    <w:rsid w:val="00A76FDF"/>
    <w:rsid w:val="00A77FFD"/>
    <w:rsid w:val="00A845DA"/>
    <w:rsid w:val="00A9169E"/>
    <w:rsid w:val="00AA00AA"/>
    <w:rsid w:val="00AA2EEB"/>
    <w:rsid w:val="00AB2D69"/>
    <w:rsid w:val="00AB4554"/>
    <w:rsid w:val="00AC32F6"/>
    <w:rsid w:val="00AC47B6"/>
    <w:rsid w:val="00AD09A2"/>
    <w:rsid w:val="00AD77C4"/>
    <w:rsid w:val="00AD7DF9"/>
    <w:rsid w:val="00AD7FCB"/>
    <w:rsid w:val="00AE29BB"/>
    <w:rsid w:val="00AE2CAF"/>
    <w:rsid w:val="00AF0EF0"/>
    <w:rsid w:val="00AF2593"/>
    <w:rsid w:val="00AF33D9"/>
    <w:rsid w:val="00AF6322"/>
    <w:rsid w:val="00B002E4"/>
    <w:rsid w:val="00B05C4F"/>
    <w:rsid w:val="00B16BC3"/>
    <w:rsid w:val="00B21795"/>
    <w:rsid w:val="00B332B2"/>
    <w:rsid w:val="00B342E4"/>
    <w:rsid w:val="00B34CCC"/>
    <w:rsid w:val="00B35439"/>
    <w:rsid w:val="00B36EC7"/>
    <w:rsid w:val="00B36EDD"/>
    <w:rsid w:val="00B37608"/>
    <w:rsid w:val="00B47E9D"/>
    <w:rsid w:val="00B575AC"/>
    <w:rsid w:val="00B6012A"/>
    <w:rsid w:val="00B61C97"/>
    <w:rsid w:val="00B628C5"/>
    <w:rsid w:val="00B6292A"/>
    <w:rsid w:val="00B630CB"/>
    <w:rsid w:val="00B63632"/>
    <w:rsid w:val="00B71933"/>
    <w:rsid w:val="00B71C11"/>
    <w:rsid w:val="00B73C07"/>
    <w:rsid w:val="00B77BB6"/>
    <w:rsid w:val="00B8078D"/>
    <w:rsid w:val="00B915B2"/>
    <w:rsid w:val="00BA0E68"/>
    <w:rsid w:val="00BA3066"/>
    <w:rsid w:val="00BB0A71"/>
    <w:rsid w:val="00BB3792"/>
    <w:rsid w:val="00BC17B7"/>
    <w:rsid w:val="00BD09A7"/>
    <w:rsid w:val="00BD12A3"/>
    <w:rsid w:val="00BD77AC"/>
    <w:rsid w:val="00BD7F6E"/>
    <w:rsid w:val="00BE14B5"/>
    <w:rsid w:val="00BE1A50"/>
    <w:rsid w:val="00BF0B6E"/>
    <w:rsid w:val="00BF47B0"/>
    <w:rsid w:val="00BF5327"/>
    <w:rsid w:val="00C00CD2"/>
    <w:rsid w:val="00C05E94"/>
    <w:rsid w:val="00C101D0"/>
    <w:rsid w:val="00C10D2D"/>
    <w:rsid w:val="00C175D4"/>
    <w:rsid w:val="00C21D33"/>
    <w:rsid w:val="00C3382F"/>
    <w:rsid w:val="00C37022"/>
    <w:rsid w:val="00C4063C"/>
    <w:rsid w:val="00C4377C"/>
    <w:rsid w:val="00C46E09"/>
    <w:rsid w:val="00C47F0F"/>
    <w:rsid w:val="00C50D3F"/>
    <w:rsid w:val="00C51D84"/>
    <w:rsid w:val="00C52506"/>
    <w:rsid w:val="00C5320B"/>
    <w:rsid w:val="00C704CF"/>
    <w:rsid w:val="00C7286A"/>
    <w:rsid w:val="00C77BFD"/>
    <w:rsid w:val="00C82259"/>
    <w:rsid w:val="00C91DBF"/>
    <w:rsid w:val="00C9223A"/>
    <w:rsid w:val="00C9297C"/>
    <w:rsid w:val="00C94014"/>
    <w:rsid w:val="00CA7BE3"/>
    <w:rsid w:val="00CB0A99"/>
    <w:rsid w:val="00CB47FC"/>
    <w:rsid w:val="00CB5A09"/>
    <w:rsid w:val="00CD0684"/>
    <w:rsid w:val="00CD0CD4"/>
    <w:rsid w:val="00CD3F38"/>
    <w:rsid w:val="00CD50F1"/>
    <w:rsid w:val="00CE3B9F"/>
    <w:rsid w:val="00CE75C1"/>
    <w:rsid w:val="00CF1C12"/>
    <w:rsid w:val="00CF1FB8"/>
    <w:rsid w:val="00CF2C65"/>
    <w:rsid w:val="00CF7E53"/>
    <w:rsid w:val="00D078B6"/>
    <w:rsid w:val="00D1022C"/>
    <w:rsid w:val="00D110C9"/>
    <w:rsid w:val="00D11FA5"/>
    <w:rsid w:val="00D12726"/>
    <w:rsid w:val="00D138E3"/>
    <w:rsid w:val="00D20F79"/>
    <w:rsid w:val="00D27115"/>
    <w:rsid w:val="00D34DCC"/>
    <w:rsid w:val="00D35ADF"/>
    <w:rsid w:val="00D36A5E"/>
    <w:rsid w:val="00D40044"/>
    <w:rsid w:val="00D439F3"/>
    <w:rsid w:val="00D46BE1"/>
    <w:rsid w:val="00D5344F"/>
    <w:rsid w:val="00D61D9B"/>
    <w:rsid w:val="00D66473"/>
    <w:rsid w:val="00D6669A"/>
    <w:rsid w:val="00D760E1"/>
    <w:rsid w:val="00D85D98"/>
    <w:rsid w:val="00D91898"/>
    <w:rsid w:val="00D97ADA"/>
    <w:rsid w:val="00DA16D9"/>
    <w:rsid w:val="00DA2F09"/>
    <w:rsid w:val="00DA68FD"/>
    <w:rsid w:val="00DB2E25"/>
    <w:rsid w:val="00DC1E60"/>
    <w:rsid w:val="00DC73BB"/>
    <w:rsid w:val="00DC7767"/>
    <w:rsid w:val="00DD23F7"/>
    <w:rsid w:val="00DD60CC"/>
    <w:rsid w:val="00DD6289"/>
    <w:rsid w:val="00DE61A2"/>
    <w:rsid w:val="00DF1BED"/>
    <w:rsid w:val="00DF4D12"/>
    <w:rsid w:val="00E05791"/>
    <w:rsid w:val="00E10AE2"/>
    <w:rsid w:val="00E10F0A"/>
    <w:rsid w:val="00E14893"/>
    <w:rsid w:val="00E21875"/>
    <w:rsid w:val="00E25407"/>
    <w:rsid w:val="00E255A5"/>
    <w:rsid w:val="00E32599"/>
    <w:rsid w:val="00E33B0E"/>
    <w:rsid w:val="00E42621"/>
    <w:rsid w:val="00E446A6"/>
    <w:rsid w:val="00E52A5D"/>
    <w:rsid w:val="00E530D9"/>
    <w:rsid w:val="00E53CB5"/>
    <w:rsid w:val="00E53CCD"/>
    <w:rsid w:val="00E556FC"/>
    <w:rsid w:val="00E62607"/>
    <w:rsid w:val="00E65177"/>
    <w:rsid w:val="00E6592D"/>
    <w:rsid w:val="00E71670"/>
    <w:rsid w:val="00E71855"/>
    <w:rsid w:val="00E719A9"/>
    <w:rsid w:val="00E76B71"/>
    <w:rsid w:val="00E964C7"/>
    <w:rsid w:val="00EA1DE4"/>
    <w:rsid w:val="00EA60EA"/>
    <w:rsid w:val="00EA66E1"/>
    <w:rsid w:val="00EA6C87"/>
    <w:rsid w:val="00EB0564"/>
    <w:rsid w:val="00EB29BF"/>
    <w:rsid w:val="00EC0701"/>
    <w:rsid w:val="00EC5329"/>
    <w:rsid w:val="00EC7C7F"/>
    <w:rsid w:val="00ED2A1A"/>
    <w:rsid w:val="00ED6ADC"/>
    <w:rsid w:val="00EE38F1"/>
    <w:rsid w:val="00EF08E5"/>
    <w:rsid w:val="00EF1D8F"/>
    <w:rsid w:val="00EF4B42"/>
    <w:rsid w:val="00F003D3"/>
    <w:rsid w:val="00F008AB"/>
    <w:rsid w:val="00F03E32"/>
    <w:rsid w:val="00F0718B"/>
    <w:rsid w:val="00F11401"/>
    <w:rsid w:val="00F16636"/>
    <w:rsid w:val="00F261A0"/>
    <w:rsid w:val="00F302B7"/>
    <w:rsid w:val="00F31762"/>
    <w:rsid w:val="00F403A7"/>
    <w:rsid w:val="00F42289"/>
    <w:rsid w:val="00F42E75"/>
    <w:rsid w:val="00F4482A"/>
    <w:rsid w:val="00F45D65"/>
    <w:rsid w:val="00F517FA"/>
    <w:rsid w:val="00F52D16"/>
    <w:rsid w:val="00F62D67"/>
    <w:rsid w:val="00F63BD9"/>
    <w:rsid w:val="00F6694C"/>
    <w:rsid w:val="00F66D2E"/>
    <w:rsid w:val="00F73C2A"/>
    <w:rsid w:val="00F8145F"/>
    <w:rsid w:val="00F82800"/>
    <w:rsid w:val="00F84004"/>
    <w:rsid w:val="00F862FD"/>
    <w:rsid w:val="00F9283D"/>
    <w:rsid w:val="00F929DC"/>
    <w:rsid w:val="00F948DD"/>
    <w:rsid w:val="00F960B3"/>
    <w:rsid w:val="00F96636"/>
    <w:rsid w:val="00F96F18"/>
    <w:rsid w:val="00FA08F1"/>
    <w:rsid w:val="00FA508E"/>
    <w:rsid w:val="00FA5320"/>
    <w:rsid w:val="00FA7846"/>
    <w:rsid w:val="00FB5535"/>
    <w:rsid w:val="00FB7118"/>
    <w:rsid w:val="00FB7529"/>
    <w:rsid w:val="00FC26E5"/>
    <w:rsid w:val="00FC783C"/>
    <w:rsid w:val="00FD19F1"/>
    <w:rsid w:val="00FD370F"/>
    <w:rsid w:val="00FE0B90"/>
    <w:rsid w:val="00FE4377"/>
    <w:rsid w:val="00FF0F38"/>
    <w:rsid w:val="00FF4C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AA8208"/>
  <w15:docId w15:val="{F148C70F-F91B-44C1-BE8E-43D8904F5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CCD"/>
    <w:pPr>
      <w:spacing w:after="0" w:line="240" w:lineRule="auto"/>
      <w:jc w:val="both"/>
    </w:pPr>
    <w:rPr>
      <w:rFonts w:ascii="Times New Roman" w:hAnsi="Times New Roman" w:cs="Times New Roman"/>
      <w:sz w:val="28"/>
      <w:szCs w:val="28"/>
      <w:lang w:eastAsia="uk-UA"/>
    </w:rPr>
  </w:style>
  <w:style w:type="paragraph" w:styleId="1">
    <w:name w:val="heading 1"/>
    <w:basedOn w:val="a"/>
    <w:link w:val="10"/>
    <w:uiPriority w:val="9"/>
    <w:qFormat/>
    <w:rsid w:val="00CD3F38"/>
    <w:pPr>
      <w:spacing w:before="100" w:beforeAutospacing="1" w:after="100" w:afterAutospacing="1"/>
      <w:jc w:val="left"/>
      <w:outlineLvl w:val="0"/>
    </w:pPr>
    <w:rPr>
      <w:b/>
      <w:bCs/>
      <w:kern w:val="36"/>
      <w:sz w:val="48"/>
      <w:szCs w:val="48"/>
      <w:lang w:val="en-US" w:eastAsia="en-US"/>
    </w:rPr>
  </w:style>
  <w:style w:type="paragraph" w:styleId="2">
    <w:name w:val="heading 2"/>
    <w:basedOn w:val="a"/>
    <w:next w:val="a"/>
    <w:link w:val="20"/>
    <w:uiPriority w:val="9"/>
    <w:unhideWhenUsed/>
    <w:qFormat/>
    <w:rsid w:val="00CD3F3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CD3F3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link w:val="40"/>
    <w:uiPriority w:val="9"/>
    <w:qFormat/>
    <w:rsid w:val="00CD3F38"/>
    <w:pPr>
      <w:spacing w:before="100" w:beforeAutospacing="1" w:after="100" w:afterAutospacing="1"/>
      <w:jc w:val="left"/>
      <w:outlineLvl w:val="3"/>
    </w:pPr>
    <w:rPr>
      <w:b/>
      <w:bCs/>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3">
    <w:name w:val="Title"/>
    <w:basedOn w:val="a"/>
    <w:link w:val="a4"/>
    <w:uiPriority w:val="10"/>
    <w:qFormat/>
    <w:rsid w:val="00E53CCD"/>
    <w:pPr>
      <w:ind w:left="5040" w:firstLine="720"/>
      <w:jc w:val="center"/>
    </w:pPr>
    <w:rPr>
      <w:b/>
      <w:sz w:val="24"/>
      <w:szCs w:val="20"/>
      <w:lang w:val="ru-RU" w:eastAsia="ru-RU"/>
    </w:rPr>
  </w:style>
  <w:style w:type="character" w:customStyle="1" w:styleId="a4">
    <w:name w:val="Назва Знак"/>
    <w:basedOn w:val="a0"/>
    <w:link w:val="a3"/>
    <w:uiPriority w:val="10"/>
    <w:locked/>
    <w:rsid w:val="00E53CCD"/>
    <w:rPr>
      <w:rFonts w:ascii="Times New Roman" w:hAnsi="Times New Roman" w:cs="Times New Roman"/>
      <w:b/>
      <w:sz w:val="20"/>
      <w:szCs w:val="20"/>
      <w:lang w:val="ru-RU" w:eastAsia="ru-RU"/>
    </w:rPr>
  </w:style>
  <w:style w:type="paragraph" w:styleId="a5">
    <w:name w:val="header"/>
    <w:basedOn w:val="a"/>
    <w:link w:val="a6"/>
    <w:uiPriority w:val="99"/>
    <w:unhideWhenUsed/>
    <w:rsid w:val="00E53CCD"/>
    <w:pPr>
      <w:tabs>
        <w:tab w:val="center" w:pos="4819"/>
        <w:tab w:val="right" w:pos="9639"/>
      </w:tabs>
    </w:pPr>
  </w:style>
  <w:style w:type="character" w:customStyle="1" w:styleId="a6">
    <w:name w:val="Верхній колонтитул Знак"/>
    <w:basedOn w:val="a0"/>
    <w:link w:val="a5"/>
    <w:uiPriority w:val="99"/>
    <w:locked/>
    <w:rsid w:val="00E53CCD"/>
    <w:rPr>
      <w:rFonts w:ascii="Times New Roman" w:hAnsi="Times New Roman" w:cs="Times New Roman"/>
      <w:sz w:val="28"/>
      <w:szCs w:val="28"/>
      <w:lang w:eastAsia="uk-UA"/>
    </w:rPr>
  </w:style>
  <w:style w:type="paragraph" w:styleId="a7">
    <w:name w:val="footer"/>
    <w:basedOn w:val="a"/>
    <w:link w:val="a8"/>
    <w:uiPriority w:val="99"/>
    <w:unhideWhenUsed/>
    <w:rsid w:val="00E53CCD"/>
    <w:pPr>
      <w:tabs>
        <w:tab w:val="center" w:pos="4819"/>
        <w:tab w:val="right" w:pos="9639"/>
      </w:tabs>
    </w:pPr>
  </w:style>
  <w:style w:type="character" w:customStyle="1" w:styleId="a8">
    <w:name w:val="Нижній колонтитул Знак"/>
    <w:basedOn w:val="a0"/>
    <w:link w:val="a7"/>
    <w:uiPriority w:val="99"/>
    <w:locked/>
    <w:rsid w:val="00E53CCD"/>
    <w:rPr>
      <w:rFonts w:ascii="Times New Roman" w:hAnsi="Times New Roman" w:cs="Times New Roman"/>
      <w:sz w:val="28"/>
      <w:szCs w:val="28"/>
      <w:lang w:eastAsia="uk-UA"/>
    </w:rPr>
  </w:style>
  <w:style w:type="table" w:styleId="a9">
    <w:name w:val="Table Grid"/>
    <w:basedOn w:val="a1"/>
    <w:uiPriority w:val="59"/>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ратный адрес"/>
    <w:basedOn w:val="ab"/>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b">
    <w:name w:val="No Spacing"/>
    <w:link w:val="ac"/>
    <w:uiPriority w:val="1"/>
    <w:qFormat/>
    <w:rsid w:val="007A6609"/>
    <w:pPr>
      <w:spacing w:after="0" w:line="240" w:lineRule="auto"/>
      <w:jc w:val="both"/>
    </w:pPr>
    <w:rPr>
      <w:rFonts w:ascii="Times New Roman" w:hAnsi="Times New Roman" w:cs="Times New Roman"/>
      <w:sz w:val="28"/>
      <w:szCs w:val="28"/>
      <w:lang w:eastAsia="uk-UA"/>
    </w:rPr>
  </w:style>
  <w:style w:type="paragraph" w:styleId="ad">
    <w:name w:val="Balloon Text"/>
    <w:basedOn w:val="a"/>
    <w:link w:val="ae"/>
    <w:uiPriority w:val="99"/>
    <w:semiHidden/>
    <w:unhideWhenUsed/>
    <w:rsid w:val="007A6609"/>
    <w:rPr>
      <w:rFonts w:ascii="Tahoma" w:hAnsi="Tahoma" w:cs="Tahoma"/>
      <w:sz w:val="16"/>
      <w:szCs w:val="16"/>
    </w:rPr>
  </w:style>
  <w:style w:type="character" w:customStyle="1" w:styleId="ae">
    <w:name w:val="Текст у виносці Знак"/>
    <w:basedOn w:val="a0"/>
    <w:link w:val="ad"/>
    <w:uiPriority w:val="99"/>
    <w:semiHidden/>
    <w:locked/>
    <w:rsid w:val="007A6609"/>
    <w:rPr>
      <w:rFonts w:ascii="Tahoma" w:hAnsi="Tahoma" w:cs="Tahoma"/>
      <w:sz w:val="16"/>
      <w:szCs w:val="16"/>
      <w:lang w:eastAsia="uk-UA"/>
    </w:rPr>
  </w:style>
  <w:style w:type="character" w:styleId="af">
    <w:name w:val="Placeholder Text"/>
    <w:basedOn w:val="a0"/>
    <w:uiPriority w:val="99"/>
    <w:semiHidden/>
    <w:rsid w:val="00542533"/>
    <w:rPr>
      <w:rFonts w:cs="Times New Roman"/>
      <w:color w:val="808080"/>
    </w:rPr>
  </w:style>
  <w:style w:type="paragraph" w:customStyle="1" w:styleId="af0">
    <w:name w:val="Текст даты"/>
    <w:basedOn w:val="a"/>
    <w:uiPriority w:val="35"/>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1">
    <w:name w:val="Salutation"/>
    <w:basedOn w:val="ab"/>
    <w:next w:val="a"/>
    <w:link w:val="af2"/>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2">
    <w:name w:val="Привітання Знак"/>
    <w:basedOn w:val="a0"/>
    <w:link w:val="af1"/>
    <w:uiPriority w:val="6"/>
    <w:rsid w:val="00523C13"/>
    <w:rPr>
      <w:rFonts w:eastAsiaTheme="minorEastAsia" w:cstheme="minorBidi"/>
      <w:b/>
      <w:bCs/>
      <w:color w:val="000000" w:themeColor="text1"/>
      <w:lang w:val="ru-RU"/>
    </w:rPr>
  </w:style>
  <w:style w:type="paragraph" w:styleId="af3">
    <w:name w:val="List Paragraph"/>
    <w:aliases w:val="Bullets,Normal bullet 2"/>
    <w:basedOn w:val="a"/>
    <w:link w:val="af4"/>
    <w:uiPriority w:val="34"/>
    <w:qFormat/>
    <w:rsid w:val="001740C0"/>
    <w:pPr>
      <w:ind w:left="720"/>
      <w:contextualSpacing/>
    </w:pPr>
  </w:style>
  <w:style w:type="character" w:customStyle="1" w:styleId="ac">
    <w:name w:val="Без інтервалів Знак"/>
    <w:basedOn w:val="a0"/>
    <w:link w:val="ab"/>
    <w:uiPriority w:val="1"/>
    <w:rsid w:val="008D10FD"/>
    <w:rPr>
      <w:rFonts w:ascii="Times New Roman" w:hAnsi="Times New Roman" w:cs="Times New Roman"/>
      <w:sz w:val="28"/>
      <w:szCs w:val="28"/>
      <w:lang w:eastAsia="uk-UA"/>
    </w:rPr>
  </w:style>
  <w:style w:type="character" w:customStyle="1" w:styleId="10">
    <w:name w:val="Заголовок 1 Знак"/>
    <w:basedOn w:val="a0"/>
    <w:link w:val="1"/>
    <w:uiPriority w:val="9"/>
    <w:rsid w:val="00CD3F38"/>
    <w:rPr>
      <w:rFonts w:ascii="Times New Roman" w:hAnsi="Times New Roman" w:cs="Times New Roman"/>
      <w:b/>
      <w:bCs/>
      <w:kern w:val="36"/>
      <w:sz w:val="48"/>
      <w:szCs w:val="48"/>
      <w:lang w:val="en-US"/>
    </w:rPr>
  </w:style>
  <w:style w:type="character" w:customStyle="1" w:styleId="20">
    <w:name w:val="Заголовок 2 Знак"/>
    <w:basedOn w:val="a0"/>
    <w:link w:val="2"/>
    <w:uiPriority w:val="9"/>
    <w:rsid w:val="00CD3F38"/>
    <w:rPr>
      <w:rFonts w:asciiTheme="majorHAnsi" w:eastAsiaTheme="majorEastAsia" w:hAnsiTheme="majorHAnsi" w:cstheme="majorBidi"/>
      <w:color w:val="365F91" w:themeColor="accent1" w:themeShade="BF"/>
      <w:sz w:val="26"/>
      <w:szCs w:val="26"/>
      <w:lang w:eastAsia="uk-UA"/>
    </w:rPr>
  </w:style>
  <w:style w:type="character" w:customStyle="1" w:styleId="30">
    <w:name w:val="Заголовок 3 Знак"/>
    <w:basedOn w:val="a0"/>
    <w:link w:val="3"/>
    <w:uiPriority w:val="9"/>
    <w:semiHidden/>
    <w:rsid w:val="00CD3F38"/>
    <w:rPr>
      <w:rFonts w:asciiTheme="majorHAnsi" w:eastAsiaTheme="majorEastAsia" w:hAnsiTheme="majorHAnsi" w:cstheme="majorBidi"/>
      <w:color w:val="243F60" w:themeColor="accent1" w:themeShade="7F"/>
      <w:sz w:val="24"/>
      <w:szCs w:val="24"/>
      <w:lang w:eastAsia="uk-UA"/>
    </w:rPr>
  </w:style>
  <w:style w:type="character" w:customStyle="1" w:styleId="40">
    <w:name w:val="Заголовок 4 Знак"/>
    <w:basedOn w:val="a0"/>
    <w:link w:val="4"/>
    <w:uiPriority w:val="9"/>
    <w:rsid w:val="00CD3F38"/>
    <w:rPr>
      <w:rFonts w:ascii="Times New Roman" w:hAnsi="Times New Roman" w:cs="Times New Roman"/>
      <w:b/>
      <w:bCs/>
      <w:sz w:val="24"/>
      <w:szCs w:val="24"/>
      <w:lang w:val="en-US"/>
    </w:rPr>
  </w:style>
  <w:style w:type="numbering" w:customStyle="1" w:styleId="11">
    <w:name w:val="Нет списка1"/>
    <w:next w:val="a2"/>
    <w:uiPriority w:val="99"/>
    <w:semiHidden/>
    <w:unhideWhenUsed/>
    <w:rsid w:val="00CD3F38"/>
  </w:style>
  <w:style w:type="table" w:customStyle="1" w:styleId="12">
    <w:name w:val="Сетка таблицы1"/>
    <w:basedOn w:val="a1"/>
    <w:next w:val="a9"/>
    <w:uiPriority w:val="59"/>
    <w:rsid w:val="00CD3F38"/>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annotation text"/>
    <w:basedOn w:val="a"/>
    <w:link w:val="af6"/>
    <w:uiPriority w:val="99"/>
    <w:unhideWhenUsed/>
    <w:rsid w:val="00CD3F38"/>
    <w:rPr>
      <w:sz w:val="20"/>
      <w:szCs w:val="20"/>
    </w:rPr>
  </w:style>
  <w:style w:type="character" w:customStyle="1" w:styleId="af6">
    <w:name w:val="Текст примітки Знак"/>
    <w:basedOn w:val="a0"/>
    <w:link w:val="af5"/>
    <w:uiPriority w:val="99"/>
    <w:rsid w:val="00CD3F38"/>
    <w:rPr>
      <w:rFonts w:ascii="Times New Roman" w:hAnsi="Times New Roman" w:cs="Times New Roman"/>
      <w:sz w:val="20"/>
      <w:szCs w:val="20"/>
      <w:lang w:eastAsia="uk-UA"/>
    </w:rPr>
  </w:style>
  <w:style w:type="character" w:styleId="af7">
    <w:name w:val="annotation reference"/>
    <w:basedOn w:val="a0"/>
    <w:uiPriority w:val="99"/>
    <w:unhideWhenUsed/>
    <w:qFormat/>
    <w:rsid w:val="00CD3F38"/>
    <w:rPr>
      <w:sz w:val="16"/>
      <w:szCs w:val="16"/>
    </w:rPr>
  </w:style>
  <w:style w:type="numbering" w:customStyle="1" w:styleId="110">
    <w:name w:val="Нет списка11"/>
    <w:next w:val="a2"/>
    <w:uiPriority w:val="99"/>
    <w:semiHidden/>
    <w:unhideWhenUsed/>
    <w:rsid w:val="00CD3F38"/>
  </w:style>
  <w:style w:type="paragraph" w:customStyle="1" w:styleId="msonormal0">
    <w:name w:val="msonormal"/>
    <w:basedOn w:val="a"/>
    <w:rsid w:val="00CD3F38"/>
    <w:pPr>
      <w:spacing w:before="100" w:beforeAutospacing="1" w:after="100" w:afterAutospacing="1"/>
      <w:jc w:val="left"/>
    </w:pPr>
    <w:rPr>
      <w:sz w:val="24"/>
      <w:szCs w:val="24"/>
      <w:lang w:val="en-US" w:eastAsia="en-US"/>
    </w:rPr>
  </w:style>
  <w:style w:type="character" w:customStyle="1" w:styleId="navbar-brand">
    <w:name w:val="navbar-brand"/>
    <w:basedOn w:val="a0"/>
    <w:rsid w:val="00CD3F38"/>
  </w:style>
  <w:style w:type="character" w:styleId="af8">
    <w:name w:val="Hyperlink"/>
    <w:basedOn w:val="a0"/>
    <w:uiPriority w:val="99"/>
    <w:unhideWhenUsed/>
    <w:rsid w:val="00CD3F38"/>
    <w:rPr>
      <w:color w:val="0000FF"/>
      <w:u w:val="single"/>
    </w:rPr>
  </w:style>
  <w:style w:type="character" w:styleId="af9">
    <w:name w:val="FollowedHyperlink"/>
    <w:basedOn w:val="a0"/>
    <w:uiPriority w:val="99"/>
    <w:semiHidden/>
    <w:unhideWhenUsed/>
    <w:rsid w:val="00CD3F38"/>
    <w:rPr>
      <w:color w:val="800080"/>
      <w:u w:val="single"/>
    </w:rPr>
  </w:style>
  <w:style w:type="character" w:customStyle="1" w:styleId="btn-toolbar">
    <w:name w:val="btn-toolbar"/>
    <w:basedOn w:val="a0"/>
    <w:rsid w:val="00CD3F38"/>
  </w:style>
  <w:style w:type="character" w:customStyle="1" w:styleId="valid">
    <w:name w:val="valid"/>
    <w:basedOn w:val="a0"/>
    <w:rsid w:val="00CD3F38"/>
  </w:style>
  <w:style w:type="character" w:customStyle="1" w:styleId="dat0">
    <w:name w:val="dat0"/>
    <w:basedOn w:val="a0"/>
    <w:rsid w:val="00CD3F38"/>
  </w:style>
  <w:style w:type="character" w:customStyle="1" w:styleId="d-none">
    <w:name w:val="d-none"/>
    <w:basedOn w:val="a0"/>
    <w:rsid w:val="00CD3F38"/>
  </w:style>
  <w:style w:type="character" w:customStyle="1" w:styleId="ml-auto">
    <w:name w:val="ml-auto"/>
    <w:basedOn w:val="a0"/>
    <w:rsid w:val="00CD3F38"/>
  </w:style>
  <w:style w:type="character" w:customStyle="1" w:styleId="separ">
    <w:name w:val="separ"/>
    <w:basedOn w:val="a0"/>
    <w:rsid w:val="00CD3F38"/>
  </w:style>
  <w:style w:type="character" w:customStyle="1" w:styleId="rvts0">
    <w:name w:val="rvts0"/>
    <w:basedOn w:val="a0"/>
    <w:rsid w:val="00CD3F38"/>
  </w:style>
  <w:style w:type="paragraph" w:customStyle="1" w:styleId="rvps4">
    <w:name w:val="rvps4"/>
    <w:basedOn w:val="a"/>
    <w:rsid w:val="00CD3F38"/>
    <w:pPr>
      <w:spacing w:before="100" w:beforeAutospacing="1" w:after="100" w:afterAutospacing="1"/>
      <w:jc w:val="left"/>
    </w:pPr>
    <w:rPr>
      <w:sz w:val="24"/>
      <w:szCs w:val="24"/>
      <w:lang w:val="en-US" w:eastAsia="en-US"/>
    </w:rPr>
  </w:style>
  <w:style w:type="paragraph" w:customStyle="1" w:styleId="rvps1">
    <w:name w:val="rvps1"/>
    <w:basedOn w:val="a"/>
    <w:rsid w:val="00CD3F38"/>
    <w:pPr>
      <w:spacing w:before="100" w:beforeAutospacing="1" w:after="100" w:afterAutospacing="1"/>
      <w:jc w:val="left"/>
    </w:pPr>
    <w:rPr>
      <w:sz w:val="24"/>
      <w:szCs w:val="24"/>
      <w:lang w:val="en-US" w:eastAsia="en-US"/>
    </w:rPr>
  </w:style>
  <w:style w:type="character" w:customStyle="1" w:styleId="rvts15">
    <w:name w:val="rvts15"/>
    <w:basedOn w:val="a0"/>
    <w:rsid w:val="00CD3F38"/>
  </w:style>
  <w:style w:type="character" w:customStyle="1" w:styleId="rvts23">
    <w:name w:val="rvts23"/>
    <w:basedOn w:val="a0"/>
    <w:rsid w:val="00CD3F38"/>
  </w:style>
  <w:style w:type="paragraph" w:customStyle="1" w:styleId="rvps7">
    <w:name w:val="rvps7"/>
    <w:basedOn w:val="a"/>
    <w:rsid w:val="00CD3F38"/>
    <w:pPr>
      <w:spacing w:before="100" w:beforeAutospacing="1" w:after="100" w:afterAutospacing="1"/>
      <w:jc w:val="left"/>
    </w:pPr>
    <w:rPr>
      <w:sz w:val="24"/>
      <w:szCs w:val="24"/>
      <w:lang w:val="en-US" w:eastAsia="en-US"/>
    </w:rPr>
  </w:style>
  <w:style w:type="character" w:customStyle="1" w:styleId="rvts9">
    <w:name w:val="rvts9"/>
    <w:basedOn w:val="a0"/>
    <w:rsid w:val="00CD3F38"/>
  </w:style>
  <w:style w:type="paragraph" w:customStyle="1" w:styleId="rvps14">
    <w:name w:val="rvps14"/>
    <w:basedOn w:val="a"/>
    <w:rsid w:val="00CD3F38"/>
    <w:pPr>
      <w:spacing w:before="100" w:beforeAutospacing="1" w:after="100" w:afterAutospacing="1"/>
      <w:jc w:val="left"/>
    </w:pPr>
    <w:rPr>
      <w:sz w:val="24"/>
      <w:szCs w:val="24"/>
      <w:lang w:val="en-US" w:eastAsia="en-US"/>
    </w:rPr>
  </w:style>
  <w:style w:type="paragraph" w:customStyle="1" w:styleId="rvps6">
    <w:name w:val="rvps6"/>
    <w:basedOn w:val="a"/>
    <w:rsid w:val="00CD3F38"/>
    <w:pPr>
      <w:spacing w:before="100" w:beforeAutospacing="1" w:after="100" w:afterAutospacing="1"/>
      <w:jc w:val="left"/>
    </w:pPr>
    <w:rPr>
      <w:sz w:val="24"/>
      <w:szCs w:val="24"/>
      <w:lang w:val="en-US" w:eastAsia="en-US"/>
    </w:rPr>
  </w:style>
  <w:style w:type="character" w:styleId="afa">
    <w:name w:val="Emphasis"/>
    <w:basedOn w:val="a0"/>
    <w:uiPriority w:val="20"/>
    <w:qFormat/>
    <w:rsid w:val="00CD3F38"/>
    <w:rPr>
      <w:i/>
      <w:iCs/>
    </w:rPr>
  </w:style>
  <w:style w:type="paragraph" w:customStyle="1" w:styleId="rvps18">
    <w:name w:val="rvps18"/>
    <w:basedOn w:val="a"/>
    <w:rsid w:val="00CD3F38"/>
    <w:pPr>
      <w:spacing w:before="100" w:beforeAutospacing="1" w:after="100" w:afterAutospacing="1"/>
      <w:jc w:val="left"/>
    </w:pPr>
    <w:rPr>
      <w:sz w:val="24"/>
      <w:szCs w:val="24"/>
      <w:lang w:val="en-US" w:eastAsia="en-US"/>
    </w:rPr>
  </w:style>
  <w:style w:type="paragraph" w:customStyle="1" w:styleId="rvps2">
    <w:name w:val="rvps2"/>
    <w:basedOn w:val="a"/>
    <w:rsid w:val="00CD3F38"/>
    <w:pPr>
      <w:spacing w:before="100" w:beforeAutospacing="1" w:after="100" w:afterAutospacing="1"/>
      <w:jc w:val="left"/>
    </w:pPr>
    <w:rPr>
      <w:sz w:val="24"/>
      <w:szCs w:val="24"/>
      <w:lang w:val="en-US" w:eastAsia="en-US"/>
    </w:rPr>
  </w:style>
  <w:style w:type="character" w:customStyle="1" w:styleId="rvts52">
    <w:name w:val="rvts52"/>
    <w:basedOn w:val="a0"/>
    <w:rsid w:val="00CD3F38"/>
  </w:style>
  <w:style w:type="character" w:customStyle="1" w:styleId="rvts44">
    <w:name w:val="rvts44"/>
    <w:basedOn w:val="a0"/>
    <w:rsid w:val="00CD3F38"/>
  </w:style>
  <w:style w:type="paragraph" w:customStyle="1" w:styleId="rvps15">
    <w:name w:val="rvps15"/>
    <w:basedOn w:val="a"/>
    <w:rsid w:val="00CD3F38"/>
    <w:pPr>
      <w:spacing w:before="100" w:beforeAutospacing="1" w:after="100" w:afterAutospacing="1"/>
      <w:jc w:val="left"/>
    </w:pPr>
    <w:rPr>
      <w:sz w:val="24"/>
      <w:szCs w:val="24"/>
      <w:lang w:val="en-US" w:eastAsia="en-US"/>
    </w:rPr>
  </w:style>
  <w:style w:type="paragraph" w:customStyle="1" w:styleId="rvps11">
    <w:name w:val="rvps11"/>
    <w:basedOn w:val="a"/>
    <w:rsid w:val="00CD3F38"/>
    <w:pPr>
      <w:spacing w:before="100" w:beforeAutospacing="1" w:after="100" w:afterAutospacing="1"/>
      <w:jc w:val="left"/>
    </w:pPr>
    <w:rPr>
      <w:sz w:val="24"/>
      <w:szCs w:val="24"/>
      <w:lang w:val="en-US" w:eastAsia="en-US"/>
    </w:rPr>
  </w:style>
  <w:style w:type="paragraph" w:customStyle="1" w:styleId="rvps8">
    <w:name w:val="rvps8"/>
    <w:basedOn w:val="a"/>
    <w:rsid w:val="00CD3F38"/>
    <w:pPr>
      <w:spacing w:before="100" w:beforeAutospacing="1" w:after="100" w:afterAutospacing="1"/>
      <w:jc w:val="left"/>
    </w:pPr>
    <w:rPr>
      <w:sz w:val="24"/>
      <w:szCs w:val="24"/>
      <w:lang w:val="en-US" w:eastAsia="en-US"/>
    </w:rPr>
  </w:style>
  <w:style w:type="character" w:customStyle="1" w:styleId="rvts46">
    <w:name w:val="rvts46"/>
    <w:basedOn w:val="a0"/>
    <w:rsid w:val="00CD3F38"/>
  </w:style>
  <w:style w:type="paragraph" w:customStyle="1" w:styleId="rvps12">
    <w:name w:val="rvps12"/>
    <w:basedOn w:val="a"/>
    <w:rsid w:val="00CD3F38"/>
    <w:pPr>
      <w:spacing w:before="100" w:beforeAutospacing="1" w:after="100" w:afterAutospacing="1"/>
      <w:jc w:val="left"/>
    </w:pPr>
    <w:rPr>
      <w:sz w:val="24"/>
      <w:szCs w:val="24"/>
      <w:lang w:val="en-US" w:eastAsia="en-US"/>
    </w:rPr>
  </w:style>
  <w:style w:type="paragraph" w:styleId="afb">
    <w:name w:val="Normal (Web)"/>
    <w:basedOn w:val="a"/>
    <w:uiPriority w:val="99"/>
    <w:unhideWhenUsed/>
    <w:rsid w:val="00CD3F38"/>
    <w:pPr>
      <w:spacing w:before="100" w:beforeAutospacing="1" w:after="100" w:afterAutospacing="1"/>
      <w:jc w:val="left"/>
    </w:pPr>
    <w:rPr>
      <w:sz w:val="24"/>
      <w:szCs w:val="24"/>
      <w:lang w:val="en-US" w:eastAsia="en-US"/>
    </w:rPr>
  </w:style>
  <w:style w:type="paragraph" w:customStyle="1" w:styleId="copy">
    <w:name w:val="copy"/>
    <w:basedOn w:val="a"/>
    <w:rsid w:val="00CD3F38"/>
    <w:pPr>
      <w:spacing w:before="100" w:beforeAutospacing="1" w:after="100" w:afterAutospacing="1"/>
      <w:jc w:val="left"/>
    </w:pPr>
    <w:rPr>
      <w:sz w:val="24"/>
      <w:szCs w:val="24"/>
      <w:lang w:val="en-US" w:eastAsia="en-US"/>
    </w:rPr>
  </w:style>
  <w:style w:type="paragraph" w:styleId="afc">
    <w:name w:val="annotation subject"/>
    <w:basedOn w:val="af5"/>
    <w:next w:val="af5"/>
    <w:link w:val="afd"/>
    <w:uiPriority w:val="99"/>
    <w:semiHidden/>
    <w:unhideWhenUsed/>
    <w:rsid w:val="00CD3F38"/>
    <w:pPr>
      <w:spacing w:after="160"/>
      <w:jc w:val="left"/>
    </w:pPr>
    <w:rPr>
      <w:rFonts w:ascii="Calibri" w:eastAsia="Calibri" w:hAnsi="Calibri"/>
      <w:b/>
      <w:bCs/>
      <w:lang w:val="en-US" w:eastAsia="en-US"/>
    </w:rPr>
  </w:style>
  <w:style w:type="character" w:customStyle="1" w:styleId="afd">
    <w:name w:val="Тема примітки Знак"/>
    <w:basedOn w:val="af6"/>
    <w:link w:val="afc"/>
    <w:uiPriority w:val="99"/>
    <w:semiHidden/>
    <w:rsid w:val="00CD3F38"/>
    <w:rPr>
      <w:rFonts w:ascii="Calibri" w:eastAsia="Calibri" w:hAnsi="Calibri" w:cs="Times New Roman"/>
      <w:b/>
      <w:bCs/>
      <w:sz w:val="20"/>
      <w:szCs w:val="20"/>
      <w:lang w:val="en-US" w:eastAsia="uk-UA"/>
    </w:rPr>
  </w:style>
  <w:style w:type="paragraph" w:customStyle="1" w:styleId="tj">
    <w:name w:val="tj"/>
    <w:basedOn w:val="a"/>
    <w:rsid w:val="00CD3F38"/>
    <w:pPr>
      <w:spacing w:before="100" w:beforeAutospacing="1" w:after="100" w:afterAutospacing="1"/>
      <w:jc w:val="left"/>
    </w:pPr>
    <w:rPr>
      <w:sz w:val="24"/>
      <w:szCs w:val="24"/>
      <w:lang w:val="en-US" w:eastAsia="en-US"/>
    </w:rPr>
  </w:style>
  <w:style w:type="paragraph" w:styleId="afe">
    <w:name w:val="Revision"/>
    <w:hidden/>
    <w:uiPriority w:val="99"/>
    <w:semiHidden/>
    <w:rsid w:val="00CD3F38"/>
    <w:pPr>
      <w:spacing w:after="0" w:line="240" w:lineRule="auto"/>
    </w:pPr>
    <w:rPr>
      <w:rFonts w:eastAsia="Calibri" w:cs="Times New Roman"/>
      <w:lang w:val="en-US"/>
    </w:rPr>
  </w:style>
  <w:style w:type="character" w:customStyle="1" w:styleId="21">
    <w:name w:val="Основной текст (2)_"/>
    <w:rsid w:val="00CD3F38"/>
    <w:rPr>
      <w:b/>
      <w:bCs/>
      <w:sz w:val="27"/>
      <w:szCs w:val="27"/>
      <w:lang w:bidi="ar-SA"/>
    </w:rPr>
  </w:style>
  <w:style w:type="table" w:customStyle="1" w:styleId="111">
    <w:name w:val="Сетка таблицы11"/>
    <w:basedOn w:val="a1"/>
    <w:next w:val="a9"/>
    <w:uiPriority w:val="59"/>
    <w:rsid w:val="00CD3F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9"/>
    <w:uiPriority w:val="39"/>
    <w:rsid w:val="00CD3F38"/>
    <w:pPr>
      <w:spacing w:after="0" w:line="240" w:lineRule="auto"/>
    </w:pPr>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0"/>
    <w:uiPriority w:val="22"/>
    <w:qFormat/>
    <w:rsid w:val="00CD3F38"/>
    <w:rPr>
      <w:b/>
      <w:bCs/>
    </w:rPr>
  </w:style>
  <w:style w:type="table" w:customStyle="1" w:styleId="31">
    <w:name w:val="Сетка таблицы3"/>
    <w:basedOn w:val="a1"/>
    <w:next w:val="a9"/>
    <w:uiPriority w:val="39"/>
    <w:rsid w:val="00CD3F38"/>
    <w:pPr>
      <w:spacing w:after="0" w:line="240" w:lineRule="auto"/>
    </w:pPr>
    <w:rPr>
      <w:rFonts w:eastAsia="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37">
    <w:name w:val="rvts37"/>
    <w:basedOn w:val="a0"/>
    <w:rsid w:val="00CD3F38"/>
  </w:style>
  <w:style w:type="numbering" w:customStyle="1" w:styleId="23">
    <w:name w:val="Нет списка2"/>
    <w:next w:val="a2"/>
    <w:uiPriority w:val="99"/>
    <w:semiHidden/>
    <w:unhideWhenUsed/>
    <w:rsid w:val="00CD3F38"/>
  </w:style>
  <w:style w:type="character" w:customStyle="1" w:styleId="af4">
    <w:name w:val="Абзац списку Знак"/>
    <w:aliases w:val="Bullets Знак,Normal bullet 2 Знак"/>
    <w:link w:val="af3"/>
    <w:uiPriority w:val="34"/>
    <w:qFormat/>
    <w:locked/>
    <w:rsid w:val="00CD3F38"/>
    <w:rPr>
      <w:rFonts w:ascii="Times New Roman" w:hAnsi="Times New Roman" w:cs="Times New Roman"/>
      <w:sz w:val="28"/>
      <w:szCs w:val="28"/>
      <w:lang w:eastAsia="uk-UA"/>
    </w:rPr>
  </w:style>
  <w:style w:type="character" w:customStyle="1" w:styleId="rvts11">
    <w:name w:val="rvts11"/>
    <w:basedOn w:val="a0"/>
    <w:rsid w:val="00CD3F38"/>
  </w:style>
  <w:style w:type="paragraph" w:styleId="aff0">
    <w:name w:val="footnote text"/>
    <w:basedOn w:val="a"/>
    <w:link w:val="aff1"/>
    <w:uiPriority w:val="99"/>
    <w:semiHidden/>
    <w:unhideWhenUsed/>
    <w:rsid w:val="00CD3F38"/>
    <w:rPr>
      <w:sz w:val="20"/>
      <w:szCs w:val="20"/>
    </w:rPr>
  </w:style>
  <w:style w:type="character" w:customStyle="1" w:styleId="aff1">
    <w:name w:val="Текст виноски Знак"/>
    <w:basedOn w:val="a0"/>
    <w:link w:val="aff0"/>
    <w:uiPriority w:val="99"/>
    <w:semiHidden/>
    <w:rsid w:val="00CD3F38"/>
    <w:rPr>
      <w:rFonts w:ascii="Times New Roman" w:hAnsi="Times New Roman" w:cs="Times New Roman"/>
      <w:sz w:val="20"/>
      <w:szCs w:val="20"/>
      <w:lang w:eastAsia="uk-UA"/>
    </w:rPr>
  </w:style>
  <w:style w:type="character" w:styleId="aff2">
    <w:name w:val="footnote reference"/>
    <w:basedOn w:val="a0"/>
    <w:uiPriority w:val="99"/>
    <w:semiHidden/>
    <w:unhideWhenUsed/>
    <w:rsid w:val="00CD3F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964281">
      <w:bodyDiv w:val="1"/>
      <w:marLeft w:val="0"/>
      <w:marRight w:val="0"/>
      <w:marTop w:val="0"/>
      <w:marBottom w:val="0"/>
      <w:divBdr>
        <w:top w:val="none" w:sz="0" w:space="0" w:color="auto"/>
        <w:left w:val="none" w:sz="0" w:space="0" w:color="auto"/>
        <w:bottom w:val="none" w:sz="0" w:space="0" w:color="auto"/>
        <w:right w:val="none" w:sz="0" w:space="0" w:color="auto"/>
      </w:divBdr>
    </w:div>
    <w:div w:id="586430056">
      <w:bodyDiv w:val="1"/>
      <w:marLeft w:val="0"/>
      <w:marRight w:val="0"/>
      <w:marTop w:val="0"/>
      <w:marBottom w:val="0"/>
      <w:divBdr>
        <w:top w:val="none" w:sz="0" w:space="0" w:color="auto"/>
        <w:left w:val="none" w:sz="0" w:space="0" w:color="auto"/>
        <w:bottom w:val="none" w:sz="0" w:space="0" w:color="auto"/>
        <w:right w:val="none" w:sz="0" w:space="0" w:color="auto"/>
      </w:divBdr>
    </w:div>
    <w:div w:id="716322258">
      <w:bodyDiv w:val="1"/>
      <w:marLeft w:val="0"/>
      <w:marRight w:val="0"/>
      <w:marTop w:val="0"/>
      <w:marBottom w:val="0"/>
      <w:divBdr>
        <w:top w:val="none" w:sz="0" w:space="0" w:color="auto"/>
        <w:left w:val="none" w:sz="0" w:space="0" w:color="auto"/>
        <w:bottom w:val="none" w:sz="0" w:space="0" w:color="auto"/>
        <w:right w:val="none" w:sz="0" w:space="0" w:color="auto"/>
      </w:divBdr>
    </w:div>
    <w:div w:id="1126390237">
      <w:bodyDiv w:val="1"/>
      <w:marLeft w:val="0"/>
      <w:marRight w:val="0"/>
      <w:marTop w:val="0"/>
      <w:marBottom w:val="0"/>
      <w:divBdr>
        <w:top w:val="none" w:sz="0" w:space="0" w:color="auto"/>
        <w:left w:val="none" w:sz="0" w:space="0" w:color="auto"/>
        <w:bottom w:val="none" w:sz="0" w:space="0" w:color="auto"/>
        <w:right w:val="none" w:sz="0" w:space="0" w:color="auto"/>
      </w:divBdr>
    </w:div>
    <w:div w:id="1269897978">
      <w:bodyDiv w:val="1"/>
      <w:marLeft w:val="0"/>
      <w:marRight w:val="0"/>
      <w:marTop w:val="0"/>
      <w:marBottom w:val="0"/>
      <w:divBdr>
        <w:top w:val="none" w:sz="0" w:space="0" w:color="auto"/>
        <w:left w:val="none" w:sz="0" w:space="0" w:color="auto"/>
        <w:bottom w:val="none" w:sz="0" w:space="0" w:color="auto"/>
        <w:right w:val="none" w:sz="0" w:space="0" w:color="auto"/>
      </w:divBdr>
    </w:div>
    <w:div w:id="1335764090">
      <w:bodyDiv w:val="1"/>
      <w:marLeft w:val="0"/>
      <w:marRight w:val="0"/>
      <w:marTop w:val="0"/>
      <w:marBottom w:val="0"/>
      <w:divBdr>
        <w:top w:val="none" w:sz="0" w:space="0" w:color="auto"/>
        <w:left w:val="none" w:sz="0" w:space="0" w:color="auto"/>
        <w:bottom w:val="none" w:sz="0" w:space="0" w:color="auto"/>
        <w:right w:val="none" w:sz="0" w:space="0" w:color="auto"/>
      </w:divBdr>
    </w:div>
    <w:div w:id="1687097693">
      <w:bodyDiv w:val="1"/>
      <w:marLeft w:val="0"/>
      <w:marRight w:val="0"/>
      <w:marTop w:val="0"/>
      <w:marBottom w:val="0"/>
      <w:divBdr>
        <w:top w:val="none" w:sz="0" w:space="0" w:color="auto"/>
        <w:left w:val="none" w:sz="0" w:space="0" w:color="auto"/>
        <w:bottom w:val="none" w:sz="0" w:space="0" w:color="auto"/>
        <w:right w:val="none" w:sz="0" w:space="0" w:color="auto"/>
      </w:divBdr>
    </w:div>
    <w:div w:id="184084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0d7039b10725a13cd02235ce8b5b5f95">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B9B379-7018-4A3A-A88B-F8671DED09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F8E2A6-7223-457A-85E8-DEC307142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7716753-10DB-42DA-B032-EC131FF1FA2F}">
  <ds:schemaRefs>
    <ds:schemaRef ds:uri="http://schemas.microsoft.com/sharepoint/v3/contenttype/forms"/>
  </ds:schemaRefs>
</ds:datastoreItem>
</file>

<file path=customXml/itemProps5.xml><?xml version="1.0" encoding="utf-8"?>
<ds:datastoreItem xmlns:ds="http://schemas.openxmlformats.org/officeDocument/2006/customXml" ds:itemID="{4DC5B6A5-5E6B-4009-AE18-D47D34EDF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39</Pages>
  <Words>51487</Words>
  <Characters>29348</Characters>
  <Application>Microsoft Office Word</Application>
  <DocSecurity>0</DocSecurity>
  <Lines>244</Lines>
  <Paragraphs>161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National Bank of Ukraine</Company>
  <LinksUpToDate>false</LinksUpToDate>
  <CharactersWithSpaces>80674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Ященко Ольга Миколаївна</dc:creator>
  <cp:lastModifiedBy>Ященко Ольга Миколаївна</cp:lastModifiedBy>
  <cp:revision>5</cp:revision>
  <cp:lastPrinted>2015-04-06T07:59:00Z</cp:lastPrinted>
  <dcterms:created xsi:type="dcterms:W3CDTF">2022-01-28T14:40:00Z</dcterms:created>
  <dcterms:modified xsi:type="dcterms:W3CDTF">2022-02-01T07:56:00Z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ies>
</file>