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F06FE" w14:textId="77777777" w:rsidR="00BB436F" w:rsidRPr="00576863" w:rsidRDefault="00FC3834">
      <w:pPr>
        <w:jc w:val="center"/>
        <w:rPr>
          <w:sz w:val="28"/>
          <w:szCs w:val="28"/>
        </w:rPr>
      </w:pPr>
      <w:bookmarkStart w:id="0" w:name="_GoBack"/>
      <w:bookmarkEnd w:id="0"/>
      <w:r w:rsidRPr="00576863">
        <w:rPr>
          <w:sz w:val="28"/>
          <w:szCs w:val="28"/>
        </w:rPr>
        <w:t>Порівняльна таблиця</w:t>
      </w:r>
    </w:p>
    <w:p w14:paraId="71FC06F3" w14:textId="20448FC6" w:rsidR="00BB436F" w:rsidRPr="00576863" w:rsidRDefault="00FC3834">
      <w:pPr>
        <w:tabs>
          <w:tab w:val="left" w:pos="6145"/>
        </w:tabs>
        <w:jc w:val="center"/>
        <w:rPr>
          <w:sz w:val="28"/>
          <w:szCs w:val="28"/>
        </w:rPr>
      </w:pPr>
      <w:r w:rsidRPr="00576863">
        <w:rPr>
          <w:sz w:val="28"/>
          <w:szCs w:val="28"/>
        </w:rPr>
        <w:t>до проєкту постанови Правління Національного банку України</w:t>
      </w:r>
    </w:p>
    <w:p w14:paraId="6CA39FD2" w14:textId="30892732" w:rsidR="00BB436F" w:rsidRPr="00576863" w:rsidRDefault="002A08F0" w:rsidP="007F1BA1">
      <w:pPr>
        <w:jc w:val="center"/>
        <w:rPr>
          <w:sz w:val="28"/>
          <w:szCs w:val="28"/>
        </w:rPr>
      </w:pPr>
      <w:r w:rsidRPr="00576863">
        <w:rPr>
          <w:sz w:val="28"/>
          <w:szCs w:val="28"/>
        </w:rPr>
        <w:t>"</w:t>
      </w:r>
      <w:r w:rsidR="005D043F" w:rsidRPr="00576863">
        <w:rPr>
          <w:rFonts w:eastAsiaTheme="minorEastAsia"/>
          <w:sz w:val="28"/>
          <w:szCs w:val="28"/>
          <w:lang w:eastAsia="en-US"/>
        </w:rPr>
        <w:t xml:space="preserve">Про </w:t>
      </w:r>
      <w:r w:rsidR="00327290">
        <w:rPr>
          <w:rFonts w:eastAsiaTheme="minorEastAsia"/>
          <w:sz w:val="28"/>
          <w:szCs w:val="28"/>
          <w:lang w:eastAsia="en-US"/>
        </w:rPr>
        <w:t>внесення</w:t>
      </w:r>
      <w:r w:rsidR="00327290" w:rsidRPr="00576863">
        <w:rPr>
          <w:rFonts w:eastAsiaTheme="minorEastAsia"/>
          <w:sz w:val="28"/>
          <w:szCs w:val="28"/>
          <w:lang w:eastAsia="en-US"/>
        </w:rPr>
        <w:t xml:space="preserve"> </w:t>
      </w:r>
      <w:r w:rsidR="005D043F" w:rsidRPr="00576863">
        <w:rPr>
          <w:rFonts w:eastAsiaTheme="minorEastAsia"/>
          <w:sz w:val="28"/>
          <w:szCs w:val="28"/>
          <w:lang w:eastAsia="en-US"/>
        </w:rPr>
        <w:t>змін до Положення про регулювання діяльності Фонду часткового гарантування кредитів у сільському господарстві</w:t>
      </w:r>
      <w:r w:rsidRPr="00576863">
        <w:rPr>
          <w:sz w:val="28"/>
          <w:szCs w:val="28"/>
        </w:rPr>
        <w:t>"</w:t>
      </w:r>
    </w:p>
    <w:p w14:paraId="5C372BC1" w14:textId="77777777" w:rsidR="00BB436F" w:rsidRPr="00576863" w:rsidRDefault="00BB436F">
      <w:pPr>
        <w:tabs>
          <w:tab w:val="left" w:pos="6145"/>
        </w:tabs>
        <w:jc w:val="center"/>
        <w:rPr>
          <w:b/>
          <w:sz w:val="28"/>
          <w:szCs w:val="28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7634"/>
        <w:gridCol w:w="7669"/>
      </w:tblGrid>
      <w:tr w:rsidR="00576863" w:rsidRPr="00576863" w14:paraId="7442745E" w14:textId="77777777" w:rsidTr="00D7332A"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67DAE" w14:textId="77777777" w:rsidR="00BB436F" w:rsidRPr="00576863" w:rsidRDefault="00FC3834">
            <w:pPr>
              <w:pStyle w:val="af0"/>
              <w:spacing w:before="0" w:after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576863">
              <w:rPr>
                <w:rFonts w:eastAsia="Calibri"/>
                <w:sz w:val="28"/>
                <w:szCs w:val="28"/>
              </w:rPr>
              <w:t>Зміст положення (норми) чинного нормативно-правового акта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4BA2" w14:textId="77777777" w:rsidR="00BB436F" w:rsidRPr="00576863" w:rsidRDefault="00FC3834">
            <w:pPr>
              <w:pStyle w:val="af0"/>
              <w:spacing w:before="0" w:after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576863">
              <w:rPr>
                <w:rFonts w:eastAsia="Calibri"/>
                <w:sz w:val="28"/>
                <w:szCs w:val="28"/>
              </w:rPr>
              <w:t>Зміст відповідного положення (норми) проєкту нормативно-правового акта</w:t>
            </w:r>
          </w:p>
        </w:tc>
      </w:tr>
      <w:tr w:rsidR="00576863" w:rsidRPr="00576863" w14:paraId="2F6A99C3" w14:textId="77777777" w:rsidTr="00D7332A"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73748" w14:textId="77777777" w:rsidR="00BB436F" w:rsidRPr="00576863" w:rsidRDefault="00FC3834">
            <w:pPr>
              <w:pStyle w:val="af0"/>
              <w:spacing w:before="0" w:after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57686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085D1" w14:textId="77777777" w:rsidR="00BB436F" w:rsidRPr="00576863" w:rsidRDefault="00FC3834">
            <w:pPr>
              <w:pStyle w:val="af0"/>
              <w:spacing w:before="0" w:after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576863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576863" w:rsidRPr="00576863" w14:paraId="4D3B4A73" w14:textId="77777777" w:rsidTr="00F75363">
        <w:tc>
          <w:tcPr>
            <w:tcW w:w="1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9AAD4" w14:textId="010D88BE" w:rsidR="00C627AE" w:rsidRPr="00576863" w:rsidRDefault="005D043F" w:rsidP="00327290">
            <w:pPr>
              <w:jc w:val="center"/>
              <w:rPr>
                <w:sz w:val="28"/>
                <w:szCs w:val="28"/>
              </w:rPr>
            </w:pPr>
            <w:r w:rsidRPr="00576863">
              <w:rPr>
                <w:rFonts w:eastAsiaTheme="minorEastAsia"/>
                <w:sz w:val="28"/>
                <w:szCs w:val="28"/>
                <w:lang w:eastAsia="en-US"/>
              </w:rPr>
              <w:t>Положення про регулювання діяльності Фонду часткового гарантування кредитів у сільському господарстві</w:t>
            </w:r>
            <w:r w:rsidRPr="00576863">
              <w:rPr>
                <w:sz w:val="28"/>
                <w:szCs w:val="28"/>
              </w:rPr>
              <w:t xml:space="preserve">, </w:t>
            </w:r>
            <w:r w:rsidR="00327290" w:rsidRPr="00576863">
              <w:rPr>
                <w:sz w:val="28"/>
                <w:szCs w:val="28"/>
              </w:rPr>
              <w:t>затверджен</w:t>
            </w:r>
            <w:r w:rsidR="00327290">
              <w:rPr>
                <w:sz w:val="28"/>
                <w:szCs w:val="28"/>
              </w:rPr>
              <w:t>е</w:t>
            </w:r>
            <w:r w:rsidR="00327290" w:rsidRPr="00576863">
              <w:rPr>
                <w:sz w:val="28"/>
                <w:szCs w:val="28"/>
              </w:rPr>
              <w:t xml:space="preserve"> </w:t>
            </w:r>
            <w:r w:rsidRPr="00576863">
              <w:rPr>
                <w:sz w:val="28"/>
                <w:szCs w:val="28"/>
              </w:rPr>
              <w:t>Постановою Правління Національного банку України від 19 серпня 2022 року № 184</w:t>
            </w:r>
          </w:p>
        </w:tc>
      </w:tr>
      <w:tr w:rsidR="002A02DB" w:rsidRPr="00576863" w14:paraId="2C25E679" w14:textId="77777777" w:rsidTr="002A02DB">
        <w:tc>
          <w:tcPr>
            <w:tcW w:w="1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A83C81" w14:textId="74158EE9" w:rsidR="002A02DB" w:rsidRPr="004F0BEC" w:rsidRDefault="002A02DB" w:rsidP="00E55437">
            <w:pPr>
              <w:jc w:val="center"/>
              <w:rPr>
                <w:sz w:val="28"/>
                <w:szCs w:val="28"/>
              </w:rPr>
            </w:pPr>
            <w:r w:rsidRPr="004F0BEC">
              <w:rPr>
                <w:bCs/>
                <w:sz w:val="28"/>
                <w:szCs w:val="28"/>
                <w:shd w:val="clear" w:color="auto" w:fill="FFFFFF"/>
              </w:rPr>
              <w:t>I. Загальні положення</w:t>
            </w:r>
          </w:p>
        </w:tc>
      </w:tr>
      <w:tr w:rsidR="002A02DB" w:rsidRPr="00576863" w14:paraId="5F1EACFB" w14:textId="71C074A9" w:rsidTr="00D7332A">
        <w:tc>
          <w:tcPr>
            <w:tcW w:w="7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114207" w14:textId="0AFBECF8" w:rsidR="002A02DB" w:rsidRPr="004F0BEC" w:rsidRDefault="002A02DB" w:rsidP="002A02DB">
            <w:pPr>
              <w:jc w:val="both"/>
              <w:rPr>
                <w:sz w:val="28"/>
                <w:szCs w:val="28"/>
              </w:rPr>
            </w:pPr>
            <w:r w:rsidRPr="004F0BEC">
              <w:rPr>
                <w:sz w:val="28"/>
                <w:szCs w:val="28"/>
              </w:rPr>
              <w:t xml:space="preserve">1. Це Положення розроблено відповідно до Законів України “Про Національний банк України”, </w:t>
            </w:r>
            <w:r w:rsidRPr="006C5F70">
              <w:rPr>
                <w:strike/>
                <w:sz w:val="28"/>
                <w:szCs w:val="28"/>
              </w:rPr>
              <w:t>“Про фінансові послуги та державне регулювання ринків фінансових послуг”</w:t>
            </w:r>
            <w:r w:rsidRPr="004F0BEC">
              <w:rPr>
                <w:sz w:val="28"/>
                <w:szCs w:val="28"/>
              </w:rPr>
              <w:t xml:space="preserve"> (далі - Закон про фінансові послуги), “Про Фонд часткового гарантування кредитів у сільському господарстві” (далі - Закон про Фонд часткового гарантування).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86D8E" w14:textId="3D510FF9" w:rsidR="002A02DB" w:rsidRPr="004F0BEC" w:rsidRDefault="002A02DB" w:rsidP="002A02DB">
            <w:pPr>
              <w:jc w:val="both"/>
              <w:rPr>
                <w:sz w:val="28"/>
                <w:szCs w:val="28"/>
              </w:rPr>
            </w:pPr>
            <w:r w:rsidRPr="004F0BEC">
              <w:rPr>
                <w:sz w:val="28"/>
                <w:szCs w:val="28"/>
              </w:rPr>
              <w:t xml:space="preserve">1. Це Положення розроблено відповідно до Законів України “Про Національний банк України”, </w:t>
            </w:r>
            <w:r w:rsidRPr="004F0BEC">
              <w:rPr>
                <w:b/>
                <w:sz w:val="28"/>
                <w:szCs w:val="28"/>
              </w:rPr>
              <w:t>“Про фінансові послуги та фінансові компанії</w:t>
            </w:r>
            <w:r w:rsidRPr="004F0BEC">
              <w:rPr>
                <w:sz w:val="28"/>
                <w:szCs w:val="28"/>
              </w:rPr>
              <w:t>” (далі - Закон про фінансові послуги), “Про Фонд часткового гарантування кредитів у сільському господарстві” (далі - Закон про Фонд часткового гарантування).</w:t>
            </w:r>
          </w:p>
        </w:tc>
      </w:tr>
      <w:tr w:rsidR="00576863" w:rsidRPr="00576863" w14:paraId="115B6D9E" w14:textId="77777777" w:rsidTr="00F75363">
        <w:tc>
          <w:tcPr>
            <w:tcW w:w="1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85BD" w14:textId="6BB8D401" w:rsidR="007F1BA1" w:rsidRPr="00576863" w:rsidRDefault="005D043F" w:rsidP="00E55437">
            <w:pPr>
              <w:jc w:val="center"/>
              <w:rPr>
                <w:sz w:val="28"/>
                <w:szCs w:val="28"/>
              </w:rPr>
            </w:pPr>
            <w:r w:rsidRPr="00576863">
              <w:rPr>
                <w:sz w:val="28"/>
                <w:szCs w:val="28"/>
              </w:rPr>
              <w:t>II. Регулятивний капітал Фонду</w:t>
            </w:r>
          </w:p>
        </w:tc>
      </w:tr>
      <w:tr w:rsidR="00576863" w:rsidRPr="00576863" w14:paraId="57FB0482" w14:textId="77777777" w:rsidTr="00D7332A"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7EE5E" w14:textId="77777777" w:rsidR="005D043F" w:rsidRPr="00576863" w:rsidRDefault="005D043F" w:rsidP="00F17A9C">
            <w:pPr>
              <w:pStyle w:val="rvps2"/>
              <w:shd w:val="clear" w:color="auto" w:fill="FFFFFF"/>
              <w:spacing w:before="0" w:after="150"/>
              <w:ind w:firstLine="33"/>
              <w:jc w:val="both"/>
              <w:rPr>
                <w:sz w:val="24"/>
              </w:rPr>
            </w:pPr>
            <w:r w:rsidRPr="00576863">
              <w:t>7. Фонд зменшує розмір РК на:</w:t>
            </w:r>
          </w:p>
          <w:p w14:paraId="38807F3D" w14:textId="2BE4B22A" w:rsidR="005D043F" w:rsidRPr="00576863" w:rsidRDefault="005D043F" w:rsidP="00576863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after="150"/>
              <w:ind w:left="0" w:firstLine="0"/>
              <w:jc w:val="both"/>
            </w:pPr>
            <w:bookmarkStart w:id="1" w:name="n40"/>
            <w:bookmarkEnd w:id="1"/>
            <w:r w:rsidRPr="00576863">
              <w:t>суму довгострокових фінансових інвестицій, які обліковуються за методом участі в капіталі інших підприємств;</w:t>
            </w:r>
          </w:p>
          <w:p w14:paraId="349E2100" w14:textId="53AFC5D9" w:rsidR="005D043F" w:rsidRPr="00576863" w:rsidRDefault="005D043F" w:rsidP="00576863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after="150"/>
              <w:ind w:left="33" w:firstLine="0"/>
              <w:jc w:val="both"/>
            </w:pPr>
            <w:bookmarkStart w:id="2" w:name="n41"/>
            <w:bookmarkEnd w:id="2"/>
            <w:r w:rsidRPr="00576863">
              <w:t>суму інших фінансових інвестицій;</w:t>
            </w:r>
          </w:p>
          <w:p w14:paraId="3164CEAC" w14:textId="22EA5ADC" w:rsidR="005D043F" w:rsidRPr="00576863" w:rsidRDefault="005D043F" w:rsidP="00576863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after="150"/>
              <w:ind w:left="33" w:firstLine="0"/>
              <w:jc w:val="both"/>
            </w:pPr>
            <w:bookmarkStart w:id="3" w:name="n42"/>
            <w:bookmarkEnd w:id="3"/>
            <w:r w:rsidRPr="00576863">
              <w:t>суму векселів одержаних;</w:t>
            </w:r>
          </w:p>
          <w:p w14:paraId="035975E1" w14:textId="11384E30" w:rsidR="005D043F" w:rsidRPr="00576863" w:rsidRDefault="005D043F" w:rsidP="00576863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after="150"/>
              <w:ind w:left="33" w:firstLine="0"/>
              <w:jc w:val="both"/>
            </w:pPr>
            <w:bookmarkStart w:id="4" w:name="n43"/>
            <w:bookmarkEnd w:id="4"/>
            <w:r w:rsidRPr="00576863">
              <w:t>суму залишкової вартості нематеріальних активів;</w:t>
            </w:r>
          </w:p>
          <w:p w14:paraId="64D0B2E7" w14:textId="2F0AB4F5" w:rsidR="007F1BA1" w:rsidRPr="00576863" w:rsidRDefault="005D043F" w:rsidP="00576863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after="150"/>
              <w:ind w:left="33" w:firstLine="0"/>
              <w:jc w:val="both"/>
            </w:pPr>
            <w:bookmarkStart w:id="5" w:name="n44"/>
            <w:bookmarkEnd w:id="5"/>
            <w:r w:rsidRPr="00576863">
              <w:lastRenderedPageBreak/>
              <w:t>НКР, розрахунок якого передбачений в </w:t>
            </w:r>
            <w:hyperlink r:id="rId8" w:anchor="n85" w:history="1">
              <w:r w:rsidRPr="00576863">
                <w:rPr>
                  <w:rStyle w:val="af9"/>
                  <w:rFonts w:eastAsia="Calibri"/>
                  <w:color w:val="auto"/>
                  <w:u w:val="none"/>
                </w:rPr>
                <w:t>розділі</w:t>
              </w:r>
              <w:r w:rsidR="00F17A9C" w:rsidRPr="00576863">
                <w:rPr>
                  <w:rStyle w:val="af9"/>
                  <w:rFonts w:eastAsia="Calibri"/>
                  <w:color w:val="auto"/>
                  <w:u w:val="none"/>
                </w:rPr>
                <w:t xml:space="preserve"> </w:t>
              </w:r>
              <w:r w:rsidRPr="00576863">
                <w:rPr>
                  <w:rStyle w:val="af9"/>
                  <w:rFonts w:eastAsia="Calibri"/>
                  <w:color w:val="auto"/>
                  <w:u w:val="none"/>
                </w:rPr>
                <w:t>IV</w:t>
              </w:r>
            </w:hyperlink>
            <w:r w:rsidRPr="00576863">
              <w:t> цього Положення.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F08D3" w14:textId="77777777" w:rsidR="00D206A2" w:rsidRPr="00576863" w:rsidRDefault="00D206A2" w:rsidP="00D206A2">
            <w:pPr>
              <w:pStyle w:val="rvps2"/>
              <w:shd w:val="clear" w:color="auto" w:fill="FFFFFF"/>
              <w:spacing w:before="0" w:after="150"/>
              <w:ind w:firstLine="33"/>
              <w:jc w:val="both"/>
              <w:rPr>
                <w:sz w:val="24"/>
              </w:rPr>
            </w:pPr>
            <w:r w:rsidRPr="00576863">
              <w:lastRenderedPageBreak/>
              <w:t>7. Фонд зменшує розмір РК на:</w:t>
            </w:r>
          </w:p>
          <w:p w14:paraId="7E642E33" w14:textId="77777777" w:rsidR="00576863" w:rsidRPr="00576863" w:rsidRDefault="00576863" w:rsidP="003052E8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before="0" w:after="150"/>
              <w:ind w:left="0" w:firstLine="0"/>
              <w:jc w:val="both"/>
            </w:pPr>
            <w:r w:rsidRPr="00576863">
              <w:t>суму довгострокових фінансових інвестицій, які обліковуються за методом участі в капіталі інших підприємств;</w:t>
            </w:r>
          </w:p>
          <w:p w14:paraId="644D4C57" w14:textId="44CD3AB1" w:rsidR="00576863" w:rsidRPr="00567E92" w:rsidRDefault="00576863" w:rsidP="003052E8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before="0" w:after="150"/>
              <w:ind w:left="0" w:firstLine="0"/>
              <w:jc w:val="both"/>
              <w:rPr>
                <w:b/>
              </w:rPr>
            </w:pPr>
            <w:r w:rsidRPr="00576863">
              <w:t xml:space="preserve">суму інших фінансових інвестицій </w:t>
            </w:r>
            <w:r w:rsidRPr="00576863">
              <w:rPr>
                <w:b/>
              </w:rPr>
              <w:t xml:space="preserve">(крім </w:t>
            </w:r>
            <w:r w:rsidR="003052E8">
              <w:rPr>
                <w:b/>
              </w:rPr>
              <w:t xml:space="preserve">вартості </w:t>
            </w:r>
            <w:r w:rsidRPr="00576863">
              <w:rPr>
                <w:b/>
              </w:rPr>
              <w:t>облігацій внутрішньої державної позики</w:t>
            </w:r>
            <w:r w:rsidR="00BE11C7">
              <w:rPr>
                <w:b/>
              </w:rPr>
              <w:t xml:space="preserve">, які належать Фонду та </w:t>
            </w:r>
            <w:r w:rsidR="007F3EAB">
              <w:rPr>
                <w:b/>
              </w:rPr>
              <w:t xml:space="preserve">обліковуються </w:t>
            </w:r>
            <w:r w:rsidR="001204D1">
              <w:rPr>
                <w:b/>
              </w:rPr>
              <w:t>Фондом</w:t>
            </w:r>
            <w:r w:rsidR="00BE11C7">
              <w:rPr>
                <w:b/>
              </w:rPr>
              <w:t xml:space="preserve"> як інші фінансові інвестиції</w:t>
            </w:r>
            <w:r w:rsidR="00567E92" w:rsidRPr="00567E92">
              <w:rPr>
                <w:b/>
              </w:rPr>
              <w:t xml:space="preserve"> (за винятком</w:t>
            </w:r>
            <w:r w:rsidR="003052E8">
              <w:rPr>
                <w:b/>
              </w:rPr>
              <w:t xml:space="preserve"> вартості</w:t>
            </w:r>
            <w:r w:rsidR="00567E92" w:rsidRPr="00567E92">
              <w:rPr>
                <w:b/>
              </w:rPr>
              <w:t xml:space="preserve"> </w:t>
            </w:r>
            <w:r w:rsidR="00567E92" w:rsidRPr="00576863">
              <w:rPr>
                <w:b/>
              </w:rPr>
              <w:t>облігацій внутрішньої державної позики</w:t>
            </w:r>
            <w:r w:rsidR="00567E92">
              <w:rPr>
                <w:b/>
              </w:rPr>
              <w:t>,</w:t>
            </w:r>
            <w:r w:rsidR="00567E92" w:rsidRPr="00567E92">
              <w:rPr>
                <w:b/>
              </w:rPr>
              <w:t xml:space="preserve"> використання яких обмежено)</w:t>
            </w:r>
            <w:r w:rsidR="00BE11C7">
              <w:rPr>
                <w:b/>
              </w:rPr>
              <w:t>,</w:t>
            </w:r>
            <w:r w:rsidRPr="00576863">
              <w:rPr>
                <w:b/>
              </w:rPr>
              <w:t xml:space="preserve"> </w:t>
            </w:r>
            <w:r w:rsidR="00BE11C7">
              <w:rPr>
                <w:b/>
              </w:rPr>
              <w:t xml:space="preserve">а також </w:t>
            </w:r>
            <w:r w:rsidR="003052E8">
              <w:rPr>
                <w:b/>
              </w:rPr>
              <w:t xml:space="preserve">суми </w:t>
            </w:r>
            <w:r w:rsidR="00567E92">
              <w:rPr>
                <w:b/>
              </w:rPr>
              <w:t xml:space="preserve">грошових </w:t>
            </w:r>
            <w:r w:rsidRPr="00576863">
              <w:rPr>
                <w:b/>
              </w:rPr>
              <w:t xml:space="preserve">коштів Фонду, розміщених на депозитних </w:t>
            </w:r>
            <w:r w:rsidRPr="00576863">
              <w:rPr>
                <w:b/>
              </w:rPr>
              <w:lastRenderedPageBreak/>
              <w:t>рахунках у банках</w:t>
            </w:r>
            <w:r w:rsidR="00BE11C7">
              <w:rPr>
                <w:b/>
              </w:rPr>
              <w:t xml:space="preserve">, які </w:t>
            </w:r>
            <w:r w:rsidR="007F3EAB">
              <w:rPr>
                <w:b/>
              </w:rPr>
              <w:t xml:space="preserve">обліковуються </w:t>
            </w:r>
            <w:r w:rsidR="001204D1">
              <w:rPr>
                <w:b/>
              </w:rPr>
              <w:t>Фондом</w:t>
            </w:r>
            <w:r w:rsidR="00BE11C7">
              <w:rPr>
                <w:b/>
              </w:rPr>
              <w:t xml:space="preserve"> як інші фінансові інвестиції</w:t>
            </w:r>
            <w:r w:rsidR="00567E92">
              <w:rPr>
                <w:b/>
              </w:rPr>
              <w:t xml:space="preserve"> (</w:t>
            </w:r>
            <w:r w:rsidR="00567E92" w:rsidRPr="00567E92">
              <w:rPr>
                <w:b/>
              </w:rPr>
              <w:t xml:space="preserve">за винятком </w:t>
            </w:r>
            <w:r w:rsidR="003052E8">
              <w:rPr>
                <w:b/>
              </w:rPr>
              <w:t xml:space="preserve">суми </w:t>
            </w:r>
            <w:r w:rsidR="00567E92" w:rsidRPr="00567E92">
              <w:rPr>
                <w:b/>
              </w:rPr>
              <w:t xml:space="preserve">грошових коштів на </w:t>
            </w:r>
            <w:r w:rsidR="00567E92">
              <w:rPr>
                <w:b/>
              </w:rPr>
              <w:t xml:space="preserve">депозитних </w:t>
            </w:r>
            <w:r w:rsidR="00567E92" w:rsidRPr="00567E92">
              <w:rPr>
                <w:b/>
              </w:rPr>
              <w:t>рахунках у банках, що віднесені до категорії неплатоспроможних</w:t>
            </w:r>
            <w:r w:rsidRPr="00576863">
              <w:rPr>
                <w:b/>
              </w:rPr>
              <w:t>)</w:t>
            </w:r>
            <w:r w:rsidRPr="00567E92">
              <w:rPr>
                <w:b/>
              </w:rPr>
              <w:t>;</w:t>
            </w:r>
          </w:p>
          <w:p w14:paraId="0476A284" w14:textId="77777777" w:rsidR="00576863" w:rsidRPr="00576863" w:rsidRDefault="00576863" w:rsidP="003052E8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before="0" w:after="150"/>
              <w:ind w:left="33" w:firstLine="0"/>
              <w:jc w:val="both"/>
            </w:pPr>
            <w:r w:rsidRPr="00576863">
              <w:t>суму векселів одержаних;</w:t>
            </w:r>
          </w:p>
          <w:p w14:paraId="56454D8F" w14:textId="77777777" w:rsidR="00576863" w:rsidRPr="00576863" w:rsidRDefault="00576863" w:rsidP="003052E8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before="0" w:after="150"/>
              <w:ind w:left="33" w:firstLine="0"/>
              <w:jc w:val="both"/>
            </w:pPr>
            <w:r w:rsidRPr="00576863">
              <w:t>суму залишкової вартості нематеріальних активів;</w:t>
            </w:r>
          </w:p>
          <w:p w14:paraId="6E2336D2" w14:textId="3BBD5C36" w:rsidR="00BB436F" w:rsidRPr="00576863" w:rsidRDefault="00576863" w:rsidP="003052E8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before="0" w:after="150"/>
              <w:ind w:left="0" w:firstLine="0"/>
              <w:jc w:val="both"/>
            </w:pPr>
            <w:r w:rsidRPr="00576863">
              <w:t>НКР, розрахунок якого передбачений в </w:t>
            </w:r>
            <w:hyperlink r:id="rId9" w:anchor="n85" w:history="1">
              <w:r w:rsidRPr="00576863">
                <w:rPr>
                  <w:rStyle w:val="af9"/>
                  <w:rFonts w:eastAsia="Calibri"/>
                  <w:color w:val="auto"/>
                  <w:u w:val="none"/>
                </w:rPr>
                <w:t>розділі IV</w:t>
              </w:r>
            </w:hyperlink>
            <w:r w:rsidRPr="00576863">
              <w:t> цього Положення.</w:t>
            </w:r>
          </w:p>
        </w:tc>
      </w:tr>
      <w:tr w:rsidR="00576863" w:rsidRPr="00576863" w14:paraId="58D16889" w14:textId="77777777" w:rsidTr="00F75363">
        <w:tc>
          <w:tcPr>
            <w:tcW w:w="1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481E" w14:textId="777B6251" w:rsidR="00C627AE" w:rsidRPr="00576863" w:rsidRDefault="00460B5D" w:rsidP="00E55437">
            <w:pPr>
              <w:jc w:val="center"/>
              <w:rPr>
                <w:sz w:val="28"/>
                <w:szCs w:val="28"/>
              </w:rPr>
            </w:pPr>
            <w:r w:rsidRPr="00460B5D">
              <w:rPr>
                <w:sz w:val="28"/>
                <w:szCs w:val="28"/>
              </w:rPr>
              <w:lastRenderedPageBreak/>
              <w:t>III. Обов’язкові нормативи та вимоги, що обмежують ризики за операціями з фінансовими активами</w:t>
            </w:r>
          </w:p>
        </w:tc>
      </w:tr>
      <w:tr w:rsidR="00D7332A" w:rsidRPr="00576863" w14:paraId="4238C1E5" w14:textId="77777777" w:rsidTr="00D7332A"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5AC2" w14:textId="77777777" w:rsidR="00D7332A" w:rsidRPr="00576863" w:rsidRDefault="00D7332A" w:rsidP="00D7332A">
            <w:pPr>
              <w:pStyle w:val="rvps2"/>
              <w:shd w:val="clear" w:color="auto" w:fill="FFFFFF"/>
              <w:spacing w:before="0" w:after="150"/>
              <w:ind w:firstLine="33"/>
              <w:jc w:val="both"/>
              <w:rPr>
                <w:szCs w:val="28"/>
              </w:rPr>
            </w:pPr>
            <w:r w:rsidRPr="00576863">
              <w:rPr>
                <w:szCs w:val="28"/>
              </w:rPr>
              <w:t>11. ОННГ розраховується за такою формулою:</w:t>
            </w:r>
          </w:p>
          <w:p w14:paraId="206B17CA" w14:textId="68B87764" w:rsidR="00D7332A" w:rsidRPr="00576863" w:rsidRDefault="00D7332A" w:rsidP="00D7332A">
            <w:pPr>
              <w:pStyle w:val="af1"/>
              <w:tabs>
                <w:tab w:val="left" w:pos="1134"/>
              </w:tabs>
              <w:ind w:left="0" w:firstLine="33"/>
              <w:jc w:val="center"/>
              <w:rPr>
                <w:rFonts w:eastAsiaTheme="minorEastAsia"/>
                <w:bCs/>
                <w:iCs/>
              </w:rPr>
            </w:pPr>
            <w:bookmarkStart w:id="6" w:name="n172"/>
            <w:bookmarkEnd w:id="6"/>
            <w:r w:rsidRPr="00576863">
              <w:rPr>
                <w:rFonts w:eastAsiaTheme="minorEastAsia"/>
                <w:bCs/>
                <w:iCs/>
              </w:rPr>
              <w:t>ОННГ=∑(</w:t>
            </w:r>
            <w:proofErr w:type="spellStart"/>
            <w:r w:rsidRPr="00576863">
              <w:rPr>
                <w:rFonts w:eastAsiaTheme="minorEastAsia"/>
                <w:bCs/>
                <w:iCs/>
              </w:rPr>
              <w:t>ЗГ</w:t>
            </w:r>
            <w:r w:rsidRPr="00576863">
              <w:rPr>
                <w:rFonts w:eastAsiaTheme="minorEastAsia"/>
                <w:bCs/>
                <w:i/>
                <w:iCs/>
              </w:rPr>
              <w:t>г</w:t>
            </w:r>
            <w:r w:rsidRPr="00576863">
              <w:rPr>
                <w:rFonts w:eastAsiaTheme="minorEastAsia"/>
                <w:bCs/>
                <w:iCs/>
              </w:rPr>
              <w:t>-ВЗ</w:t>
            </w:r>
            <w:r w:rsidRPr="00576863">
              <w:rPr>
                <w:rFonts w:eastAsiaTheme="minorEastAsia"/>
                <w:bCs/>
                <w:i/>
                <w:iCs/>
              </w:rPr>
              <w:t>г</w:t>
            </w:r>
            <w:proofErr w:type="spellEnd"/>
            <w:r w:rsidRPr="00576863">
              <w:rPr>
                <w:rFonts w:eastAsiaTheme="minorEastAsia"/>
                <w:bCs/>
                <w:iCs/>
              </w:rPr>
              <w:t>),</w:t>
            </w:r>
          </w:p>
          <w:p w14:paraId="16334CD3" w14:textId="42A25F22" w:rsidR="00D7332A" w:rsidRPr="00576863" w:rsidRDefault="00D7332A" w:rsidP="00D7332A">
            <w:pPr>
              <w:pStyle w:val="rvps2"/>
              <w:shd w:val="clear" w:color="auto" w:fill="FFFFFF"/>
              <w:spacing w:before="0" w:after="150"/>
              <w:ind w:firstLine="33"/>
              <w:jc w:val="both"/>
              <w:rPr>
                <w:szCs w:val="28"/>
              </w:rPr>
            </w:pPr>
            <w:r w:rsidRPr="00576863">
              <w:rPr>
                <w:noProof/>
                <w:szCs w:val="28"/>
              </w:rPr>
              <w:drawing>
                <wp:inline distT="0" distB="0" distL="0" distR="0" wp14:anchorId="14F7B4CA" wp14:editId="0EC06BAA">
                  <wp:extent cx="15240" cy="7620"/>
                  <wp:effectExtent l="0" t="0" r="0" b="0"/>
                  <wp:docPr id="1" name="Рисунок 1" descr="https://zakon.rada.gov.ua/laws/file/imgs/100/p518417n172-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.rada.gov.ua/laws/file/imgs/100/p518417n172-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7" w:name="n58"/>
            <w:bookmarkEnd w:id="7"/>
            <w:r w:rsidRPr="00576863">
              <w:rPr>
                <w:szCs w:val="28"/>
              </w:rPr>
              <w:t xml:space="preserve">де </w:t>
            </w:r>
            <w:proofErr w:type="spellStart"/>
            <w:r w:rsidRPr="00576863">
              <w:rPr>
                <w:szCs w:val="28"/>
              </w:rPr>
              <w:t>ЗГ</w:t>
            </w:r>
            <w:r w:rsidRPr="00576863">
              <w:t>г</w:t>
            </w:r>
            <w:proofErr w:type="spellEnd"/>
            <w:r w:rsidRPr="00576863">
              <w:rPr>
                <w:szCs w:val="28"/>
              </w:rPr>
              <w:t> </w:t>
            </w:r>
            <w:r>
              <w:rPr>
                <w:szCs w:val="28"/>
              </w:rPr>
              <w:t>–</w:t>
            </w:r>
            <w:r w:rsidRPr="00576863">
              <w:rPr>
                <w:szCs w:val="28"/>
              </w:rPr>
              <w:t xml:space="preserve"> сума гарантій, уключених до групи однорідних гарантій, діючих на дату розрахунку;</w:t>
            </w:r>
          </w:p>
          <w:p w14:paraId="2431AC43" w14:textId="20FCD9DF" w:rsidR="00D7332A" w:rsidRPr="00576863" w:rsidRDefault="00D7332A" w:rsidP="00150847">
            <w:pPr>
              <w:pStyle w:val="rvps2"/>
              <w:shd w:val="clear" w:color="auto" w:fill="FFFFFF"/>
              <w:spacing w:before="0" w:after="150"/>
              <w:ind w:firstLine="33"/>
              <w:jc w:val="both"/>
              <w:rPr>
                <w:szCs w:val="28"/>
              </w:rPr>
            </w:pPr>
            <w:bookmarkStart w:id="8" w:name="n59"/>
            <w:bookmarkEnd w:id="8"/>
            <w:proofErr w:type="spellStart"/>
            <w:r w:rsidRPr="00576863">
              <w:rPr>
                <w:szCs w:val="28"/>
              </w:rPr>
              <w:t>ВЗ</w:t>
            </w:r>
            <w:r w:rsidRPr="00576863">
              <w:rPr>
                <w:rStyle w:val="rvts11"/>
                <w:i/>
                <w:iCs/>
                <w:szCs w:val="28"/>
              </w:rPr>
              <w:t>г</w:t>
            </w:r>
            <w:proofErr w:type="spellEnd"/>
            <w:r w:rsidRPr="00576863">
              <w:rPr>
                <w:szCs w:val="28"/>
              </w:rPr>
              <w:t> </w:t>
            </w:r>
            <w:r>
              <w:rPr>
                <w:szCs w:val="28"/>
              </w:rPr>
              <w:t>–</w:t>
            </w:r>
            <w:r w:rsidRPr="00576863">
              <w:rPr>
                <w:szCs w:val="28"/>
              </w:rPr>
              <w:t xml:space="preserve"> загальна сума інструментів передавання ризиків та забезпечення наявного у Фонду за гарантіями, уключеними до групи однорідних гарантій (але не більше ніж сума зобов’язання за такими гарантіями), перелік яких наведено в </w:t>
            </w:r>
            <w:hyperlink r:id="rId12" w:anchor="n104" w:history="1">
              <w:r w:rsidRPr="00576863">
                <w:rPr>
                  <w:szCs w:val="28"/>
                </w:rPr>
                <w:t xml:space="preserve">пункті </w:t>
              </w:r>
              <w:r w:rsidRPr="006C5F70">
                <w:rPr>
                  <w:strike/>
                  <w:szCs w:val="28"/>
                </w:rPr>
                <w:t>26</w:t>
              </w:r>
            </w:hyperlink>
            <w:r w:rsidRPr="00576863">
              <w:rPr>
                <w:szCs w:val="28"/>
              </w:rPr>
              <w:t> розділу IV цього Положення.</w:t>
            </w:r>
            <w:bookmarkStart w:id="9" w:name="n60"/>
            <w:bookmarkEnd w:id="9"/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62E6" w14:textId="77777777" w:rsidR="00D7332A" w:rsidRPr="00576863" w:rsidRDefault="00D7332A" w:rsidP="00D7332A">
            <w:pPr>
              <w:pStyle w:val="rvps2"/>
              <w:shd w:val="clear" w:color="auto" w:fill="FFFFFF"/>
              <w:spacing w:before="0" w:after="150"/>
              <w:ind w:firstLine="33"/>
              <w:jc w:val="both"/>
              <w:rPr>
                <w:szCs w:val="28"/>
              </w:rPr>
            </w:pPr>
            <w:r w:rsidRPr="00576863">
              <w:rPr>
                <w:szCs w:val="28"/>
              </w:rPr>
              <w:t>11. ОННГ розраховується за такою формулою:</w:t>
            </w:r>
          </w:p>
          <w:p w14:paraId="3B07E699" w14:textId="77777777" w:rsidR="00D7332A" w:rsidRPr="00576863" w:rsidRDefault="00D7332A" w:rsidP="00D7332A">
            <w:pPr>
              <w:pStyle w:val="af1"/>
              <w:tabs>
                <w:tab w:val="left" w:pos="1134"/>
              </w:tabs>
              <w:ind w:left="0" w:firstLine="33"/>
              <w:jc w:val="center"/>
              <w:rPr>
                <w:rFonts w:eastAsiaTheme="minorEastAsia"/>
                <w:bCs/>
                <w:iCs/>
              </w:rPr>
            </w:pPr>
            <w:r w:rsidRPr="00576863">
              <w:rPr>
                <w:rFonts w:eastAsiaTheme="minorEastAsia"/>
                <w:bCs/>
                <w:iCs/>
              </w:rPr>
              <w:t>ОННГ=∑(</w:t>
            </w:r>
            <w:proofErr w:type="spellStart"/>
            <w:r w:rsidRPr="00576863">
              <w:rPr>
                <w:rFonts w:eastAsiaTheme="minorEastAsia"/>
                <w:bCs/>
                <w:iCs/>
              </w:rPr>
              <w:t>ЗГ</w:t>
            </w:r>
            <w:r w:rsidRPr="00576863">
              <w:rPr>
                <w:rFonts w:eastAsiaTheme="minorEastAsia"/>
                <w:bCs/>
                <w:i/>
                <w:iCs/>
              </w:rPr>
              <w:t>г</w:t>
            </w:r>
            <w:r w:rsidRPr="00576863">
              <w:rPr>
                <w:rFonts w:eastAsiaTheme="minorEastAsia"/>
                <w:bCs/>
                <w:iCs/>
              </w:rPr>
              <w:t>-ВЗ</w:t>
            </w:r>
            <w:r w:rsidRPr="00576863">
              <w:rPr>
                <w:rFonts w:eastAsiaTheme="minorEastAsia"/>
                <w:bCs/>
                <w:i/>
                <w:iCs/>
              </w:rPr>
              <w:t>г</w:t>
            </w:r>
            <w:proofErr w:type="spellEnd"/>
            <w:r w:rsidRPr="00576863">
              <w:rPr>
                <w:rFonts w:eastAsiaTheme="minorEastAsia"/>
                <w:bCs/>
                <w:iCs/>
              </w:rPr>
              <w:t>),</w:t>
            </w:r>
          </w:p>
          <w:p w14:paraId="39265BA4" w14:textId="064D9E3E" w:rsidR="00D7332A" w:rsidRPr="00576863" w:rsidRDefault="00D7332A" w:rsidP="00D7332A">
            <w:pPr>
              <w:pStyle w:val="rvps2"/>
              <w:shd w:val="clear" w:color="auto" w:fill="FFFFFF"/>
              <w:spacing w:before="0" w:after="150"/>
              <w:ind w:firstLine="33"/>
              <w:jc w:val="both"/>
              <w:rPr>
                <w:szCs w:val="28"/>
              </w:rPr>
            </w:pPr>
            <w:r w:rsidRPr="00576863">
              <w:rPr>
                <w:noProof/>
                <w:szCs w:val="28"/>
              </w:rPr>
              <w:drawing>
                <wp:inline distT="0" distB="0" distL="0" distR="0" wp14:anchorId="1A66AF99" wp14:editId="706B4789">
                  <wp:extent cx="15240" cy="7620"/>
                  <wp:effectExtent l="0" t="0" r="0" b="0"/>
                  <wp:docPr id="2" name="Рисунок 2" descr="https://zakon.rada.gov.ua/laws/file/imgs/100/p518417n172-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.rada.gov.ua/laws/file/imgs/100/p518417n172-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863">
              <w:rPr>
                <w:szCs w:val="28"/>
              </w:rPr>
              <w:t xml:space="preserve">де </w:t>
            </w:r>
            <w:proofErr w:type="spellStart"/>
            <w:r w:rsidRPr="00576863">
              <w:rPr>
                <w:szCs w:val="28"/>
              </w:rPr>
              <w:t>ЗГг</w:t>
            </w:r>
            <w:proofErr w:type="spellEnd"/>
            <w:r w:rsidRPr="00576863">
              <w:rPr>
                <w:szCs w:val="28"/>
              </w:rPr>
              <w:t> </w:t>
            </w:r>
            <w:r>
              <w:rPr>
                <w:szCs w:val="28"/>
              </w:rPr>
              <w:t>–</w:t>
            </w:r>
            <w:r w:rsidRPr="00576863">
              <w:rPr>
                <w:szCs w:val="28"/>
              </w:rPr>
              <w:t xml:space="preserve"> сума гарантій, уключених до групи однорідних гарантій, діючих на дату розрахунку;</w:t>
            </w:r>
          </w:p>
          <w:p w14:paraId="20AA5983" w14:textId="39EBA015" w:rsidR="00D7332A" w:rsidRPr="00576863" w:rsidRDefault="00D7332A" w:rsidP="00150847">
            <w:pPr>
              <w:pStyle w:val="rvps2"/>
              <w:shd w:val="clear" w:color="auto" w:fill="FFFFFF"/>
              <w:spacing w:before="0" w:after="150"/>
              <w:ind w:firstLine="33"/>
              <w:jc w:val="both"/>
              <w:rPr>
                <w:szCs w:val="28"/>
              </w:rPr>
            </w:pPr>
            <w:proofErr w:type="spellStart"/>
            <w:r w:rsidRPr="00576863">
              <w:rPr>
                <w:szCs w:val="28"/>
              </w:rPr>
              <w:t>ВЗ</w:t>
            </w:r>
            <w:r w:rsidRPr="00576863">
              <w:rPr>
                <w:rStyle w:val="rvts11"/>
                <w:i/>
                <w:iCs/>
                <w:szCs w:val="28"/>
              </w:rPr>
              <w:t>г</w:t>
            </w:r>
            <w:proofErr w:type="spellEnd"/>
            <w:r w:rsidRPr="00576863">
              <w:rPr>
                <w:szCs w:val="28"/>
              </w:rPr>
              <w:t> </w:t>
            </w:r>
            <w:r>
              <w:rPr>
                <w:szCs w:val="28"/>
              </w:rPr>
              <w:t>–</w:t>
            </w:r>
            <w:r w:rsidRPr="00576863">
              <w:rPr>
                <w:szCs w:val="28"/>
              </w:rPr>
              <w:t xml:space="preserve"> загальна сума інструментів передавання ризиків та забезпечення наявного у Фонду за гарантіями, уключеними до групи однорідних гарантій (але не більше ніж сума зобов’язання за такими гарантіями), перелік яких наведено в </w:t>
            </w:r>
            <w:hyperlink r:id="rId13" w:anchor="n104" w:history="1">
              <w:r w:rsidRPr="00576863">
                <w:rPr>
                  <w:szCs w:val="28"/>
                </w:rPr>
                <w:t xml:space="preserve">пункті </w:t>
              </w:r>
              <w:r w:rsidRPr="00576863">
                <w:rPr>
                  <w:b/>
                  <w:szCs w:val="28"/>
                </w:rPr>
                <w:t>2</w:t>
              </w:r>
              <w:r w:rsidRPr="00576863">
                <w:rPr>
                  <w:b/>
                  <w:szCs w:val="28"/>
                  <w:lang w:val="ru-RU"/>
                </w:rPr>
                <w:t>7</w:t>
              </w:r>
            </w:hyperlink>
            <w:r w:rsidRPr="00576863">
              <w:rPr>
                <w:szCs w:val="28"/>
              </w:rPr>
              <w:t> розділу IV цього Положення.</w:t>
            </w:r>
          </w:p>
        </w:tc>
      </w:tr>
      <w:tr w:rsidR="00150847" w:rsidRPr="004F0BEC" w14:paraId="28ECAD84" w14:textId="77777777" w:rsidTr="00D7332A"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F8298" w14:textId="2EB1E485" w:rsidR="00150847" w:rsidRPr="004F0BEC" w:rsidRDefault="00150847" w:rsidP="00D7332A">
            <w:pPr>
              <w:pStyle w:val="rvps2"/>
              <w:shd w:val="clear" w:color="auto" w:fill="FFFFFF"/>
              <w:spacing w:before="0" w:after="150"/>
              <w:ind w:firstLine="33"/>
              <w:jc w:val="both"/>
              <w:rPr>
                <w:szCs w:val="28"/>
              </w:rPr>
            </w:pPr>
            <w:r w:rsidRPr="004F0BEC">
              <w:rPr>
                <w:shd w:val="clear" w:color="auto" w:fill="FFFFFF"/>
              </w:rPr>
              <w:t xml:space="preserve">16. Національний банк має право розглянути питання щодо застосування до Фонду заходів впливу згідно зі </w:t>
            </w:r>
            <w:r w:rsidRPr="006C5F70">
              <w:rPr>
                <w:strike/>
                <w:shd w:val="clear" w:color="auto" w:fill="FFFFFF"/>
              </w:rPr>
              <w:t>статтею 40</w:t>
            </w:r>
            <w:r w:rsidRPr="004F0BEC">
              <w:rPr>
                <w:shd w:val="clear" w:color="auto" w:fill="FFFFFF"/>
              </w:rPr>
              <w:t xml:space="preserve"> Закону про фінансові послуги та відповідним нормативно-правовим актом Національного банку з питань застосування заходів впливу, якщо за результатами безвиїзного нагляду або інспекційної перевірки встановлено факти невиконання Фондом обов’язкових нормативів, визначених у розділі III </w:t>
            </w:r>
            <w:r w:rsidRPr="004F0BEC">
              <w:rPr>
                <w:shd w:val="clear" w:color="auto" w:fill="FFFFFF"/>
              </w:rPr>
              <w:lastRenderedPageBreak/>
              <w:t>цього Положення, та/або про недотримання Фондом вимог, визначених у розділах IV, V цього Положення.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1C0C3" w14:textId="43E9A3B6" w:rsidR="00150847" w:rsidRPr="0043247A" w:rsidRDefault="00EB55F0" w:rsidP="00327290">
            <w:pPr>
              <w:pStyle w:val="rvps2"/>
              <w:shd w:val="clear" w:color="auto" w:fill="FFFFFF"/>
              <w:spacing w:before="0" w:after="150"/>
              <w:ind w:firstLine="33"/>
              <w:jc w:val="both"/>
              <w:rPr>
                <w:b/>
                <w:szCs w:val="28"/>
              </w:rPr>
            </w:pPr>
            <w:r w:rsidRPr="0043247A">
              <w:rPr>
                <w:b/>
                <w:shd w:val="clear" w:color="auto" w:fill="FFFFFF"/>
              </w:rPr>
              <w:lastRenderedPageBreak/>
              <w:t xml:space="preserve">16. Національний банк має право розглянути питання щодо застосування до Фонду коригувальних заходів або заходів впливу згідно зі статтями 48, 50 Закону про фінансові послуги та відповідним нормативно-правовим актом Національного банку з питань застосування Національним банком коригувальних заходів, заходів раннього втручання, заходів впливу у сфері державного регулювання діяльності на ринках небанківських </w:t>
            </w:r>
            <w:r w:rsidRPr="0043247A">
              <w:rPr>
                <w:b/>
                <w:shd w:val="clear" w:color="auto" w:fill="FFFFFF"/>
              </w:rPr>
              <w:lastRenderedPageBreak/>
              <w:t>фінансових послуг, якщо за результатами безвиїзного нагляду або інспекційної перевірки встановлено факти невиконання Фондом обов’язкових нормативів, визначених у розділі III цього Положення, та/або про недотримання Фондом вимог, визначених у розділах IV, V цього Положення.</w:t>
            </w:r>
          </w:p>
        </w:tc>
      </w:tr>
      <w:tr w:rsidR="00150847" w:rsidRPr="00172C70" w14:paraId="387BF5C1" w14:textId="77777777" w:rsidTr="00D7332A"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AC172" w14:textId="77777777" w:rsidR="00150847" w:rsidRPr="00172C70" w:rsidRDefault="00150847" w:rsidP="00150847">
            <w:pPr>
              <w:pStyle w:val="rvps2"/>
              <w:shd w:val="clear" w:color="auto" w:fill="FFFFFF"/>
              <w:spacing w:before="0" w:after="150"/>
              <w:ind w:firstLine="33"/>
              <w:jc w:val="both"/>
              <w:rPr>
                <w:szCs w:val="28"/>
              </w:rPr>
            </w:pPr>
            <w:r w:rsidRPr="00172C70">
              <w:rPr>
                <w:szCs w:val="28"/>
              </w:rPr>
              <w:lastRenderedPageBreak/>
              <w:t xml:space="preserve">17. Фонд зобов’язаний надавати Національному банку згідно зі статтею 57 Закону України “Про Національний банк України”, </w:t>
            </w:r>
            <w:r w:rsidRPr="006C5F70">
              <w:rPr>
                <w:strike/>
                <w:szCs w:val="28"/>
              </w:rPr>
              <w:t>статтями 29 та 30</w:t>
            </w:r>
            <w:r w:rsidRPr="00172C70">
              <w:rPr>
                <w:szCs w:val="28"/>
              </w:rPr>
              <w:t xml:space="preserve"> Закону про фінансові послуги в порядку, установленому нормативно-правовими актами Національного банку з питань здійснення безвиїзного нагляду на ринках небанківських фінансових послуг або з питань проведення інспекційних перевірок діяльності учасників ринків небанківських фінансових послуг:</w:t>
            </w:r>
          </w:p>
          <w:p w14:paraId="7D0BF424" w14:textId="5A3C0ECD" w:rsidR="00150847" w:rsidRPr="00172C70" w:rsidRDefault="00150847" w:rsidP="00150847">
            <w:pPr>
              <w:pStyle w:val="rvps2"/>
              <w:shd w:val="clear" w:color="auto" w:fill="FFFFFF"/>
              <w:spacing w:before="0" w:after="150"/>
              <w:ind w:firstLine="33"/>
              <w:jc w:val="both"/>
              <w:rPr>
                <w:szCs w:val="28"/>
              </w:rPr>
            </w:pPr>
            <w:r w:rsidRPr="00172C70">
              <w:rPr>
                <w:szCs w:val="28"/>
              </w:rPr>
              <w:t>…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E6551" w14:textId="15E9A0E1" w:rsidR="00150847" w:rsidRPr="00172C70" w:rsidRDefault="00150847" w:rsidP="00150847">
            <w:pPr>
              <w:pStyle w:val="rvps2"/>
              <w:shd w:val="clear" w:color="auto" w:fill="FFFFFF"/>
              <w:spacing w:before="0" w:after="150"/>
              <w:ind w:firstLine="33"/>
              <w:jc w:val="both"/>
              <w:rPr>
                <w:szCs w:val="28"/>
              </w:rPr>
            </w:pPr>
            <w:r w:rsidRPr="00172C70">
              <w:rPr>
                <w:szCs w:val="28"/>
              </w:rPr>
              <w:t xml:space="preserve">17. Фонд зобов’язаний надавати Національному банку згідно зі статтею 57 Закону України “Про Національний банк України”, </w:t>
            </w:r>
            <w:r w:rsidRPr="00172C70">
              <w:rPr>
                <w:b/>
                <w:szCs w:val="28"/>
              </w:rPr>
              <w:t>статт</w:t>
            </w:r>
            <w:r w:rsidR="003052E8">
              <w:rPr>
                <w:b/>
                <w:szCs w:val="28"/>
              </w:rPr>
              <w:t>ями</w:t>
            </w:r>
            <w:r w:rsidRPr="00172C70">
              <w:rPr>
                <w:b/>
                <w:szCs w:val="28"/>
              </w:rPr>
              <w:t xml:space="preserve"> 23</w:t>
            </w:r>
            <w:r w:rsidR="009937DA">
              <w:rPr>
                <w:b/>
                <w:szCs w:val="28"/>
              </w:rPr>
              <w:t>,</w:t>
            </w:r>
            <w:r w:rsidR="00292278" w:rsidRPr="00172C70">
              <w:rPr>
                <w:b/>
                <w:szCs w:val="28"/>
              </w:rPr>
              <w:t xml:space="preserve"> </w:t>
            </w:r>
            <w:r w:rsidRPr="00172C70">
              <w:rPr>
                <w:b/>
                <w:szCs w:val="28"/>
              </w:rPr>
              <w:t>47</w:t>
            </w:r>
            <w:r w:rsidR="008373CC" w:rsidRPr="00172C70">
              <w:rPr>
                <w:b/>
                <w:szCs w:val="28"/>
              </w:rPr>
              <w:t xml:space="preserve"> </w:t>
            </w:r>
            <w:r w:rsidRPr="00172C70">
              <w:rPr>
                <w:szCs w:val="28"/>
              </w:rPr>
              <w:t>Закону про фінансові послуги в порядку, установленому нормативно-правовими актами Національного банку з питань здійснення безвиїзного нагляду на ринках небанківських фінансових послуг або з питань проведення інспекційних перевірок діяльності учасників ринків небанківських фінансових послуг:</w:t>
            </w:r>
          </w:p>
          <w:p w14:paraId="4EA203E3" w14:textId="29A1DA2D" w:rsidR="00150847" w:rsidRPr="00172C70" w:rsidRDefault="00150847" w:rsidP="00150847">
            <w:pPr>
              <w:pStyle w:val="rvps2"/>
              <w:shd w:val="clear" w:color="auto" w:fill="FFFFFF"/>
              <w:spacing w:before="0" w:after="150"/>
              <w:ind w:firstLine="33"/>
              <w:jc w:val="both"/>
              <w:rPr>
                <w:szCs w:val="28"/>
              </w:rPr>
            </w:pPr>
            <w:r w:rsidRPr="00172C70">
              <w:rPr>
                <w:szCs w:val="28"/>
              </w:rPr>
              <w:t>…</w:t>
            </w:r>
          </w:p>
        </w:tc>
      </w:tr>
    </w:tbl>
    <w:p w14:paraId="0150B064" w14:textId="0A82B3A0" w:rsidR="007F4FCD" w:rsidRPr="00172C70" w:rsidRDefault="007F4FCD" w:rsidP="0085206D">
      <w:pPr>
        <w:rPr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810"/>
      </w:tblGrid>
      <w:tr w:rsidR="005F7807" w:rsidRPr="00A50BBD" w14:paraId="07C1DC2D" w14:textId="77777777" w:rsidTr="00460B5D">
        <w:tc>
          <w:tcPr>
            <w:tcW w:w="10490" w:type="dxa"/>
            <w:shd w:val="clear" w:color="auto" w:fill="auto"/>
          </w:tcPr>
          <w:p w14:paraId="6ED2B55C" w14:textId="3A194506" w:rsidR="005F7807" w:rsidRPr="00172C70" w:rsidRDefault="00444A1E" w:rsidP="00460B5D">
            <w:pPr>
              <w:pStyle w:val="ac"/>
              <w:ind w:right="3658"/>
              <w:rPr>
                <w:sz w:val="28"/>
                <w:szCs w:val="28"/>
              </w:rPr>
            </w:pPr>
            <w:r w:rsidRPr="00172C70">
              <w:rPr>
                <w:sz w:val="28"/>
                <w:szCs w:val="28"/>
              </w:rPr>
              <w:t>Директор Департаменту</w:t>
            </w:r>
            <w:r w:rsidR="00460B5D" w:rsidRPr="00172C70">
              <w:rPr>
                <w:sz w:val="28"/>
                <w:szCs w:val="28"/>
                <w:lang w:val="ru-RU"/>
              </w:rPr>
              <w:t xml:space="preserve"> </w:t>
            </w:r>
            <w:r w:rsidR="00460B5D" w:rsidRPr="00172C70">
              <w:rPr>
                <w:sz w:val="28"/>
                <w:szCs w:val="28"/>
              </w:rPr>
              <w:t>методології</w:t>
            </w:r>
            <w:r w:rsidRPr="00172C70">
              <w:rPr>
                <w:sz w:val="28"/>
                <w:szCs w:val="28"/>
              </w:rPr>
              <w:t xml:space="preserve"> регулювання</w:t>
            </w:r>
            <w:r w:rsidRPr="00172C70">
              <w:rPr>
                <w:spacing w:val="-8"/>
                <w:sz w:val="28"/>
                <w:szCs w:val="28"/>
              </w:rPr>
              <w:t xml:space="preserve"> </w:t>
            </w:r>
            <w:r w:rsidRPr="00172C70">
              <w:rPr>
                <w:sz w:val="28"/>
                <w:szCs w:val="28"/>
              </w:rPr>
              <w:t>діяльності</w:t>
            </w:r>
            <w:r w:rsidRPr="00172C70">
              <w:rPr>
                <w:spacing w:val="-7"/>
                <w:sz w:val="28"/>
                <w:szCs w:val="28"/>
              </w:rPr>
              <w:t xml:space="preserve"> </w:t>
            </w:r>
            <w:r w:rsidRPr="00172C70">
              <w:rPr>
                <w:sz w:val="28"/>
                <w:szCs w:val="28"/>
              </w:rPr>
              <w:t>небанківських фінансових установ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24846FCD" w14:textId="63F22689" w:rsidR="005F7807" w:rsidRPr="00A50BBD" w:rsidRDefault="00444A1E" w:rsidP="00444A1E">
            <w:pPr>
              <w:jc w:val="right"/>
              <w:rPr>
                <w:sz w:val="28"/>
                <w:szCs w:val="28"/>
              </w:rPr>
            </w:pPr>
            <w:r w:rsidRPr="00172C70">
              <w:rPr>
                <w:sz w:val="28"/>
                <w:szCs w:val="28"/>
              </w:rPr>
              <w:t>Сергій САВЧУК</w:t>
            </w:r>
          </w:p>
        </w:tc>
      </w:tr>
    </w:tbl>
    <w:p w14:paraId="62FE78A2" w14:textId="77777777" w:rsidR="005F7807" w:rsidRPr="005F7807" w:rsidRDefault="005F7807" w:rsidP="0085206D">
      <w:pPr>
        <w:rPr>
          <w:sz w:val="28"/>
          <w:szCs w:val="28"/>
        </w:rPr>
      </w:pPr>
    </w:p>
    <w:sectPr w:rsidR="005F7807" w:rsidRPr="005F7807" w:rsidSect="00F31DF6">
      <w:headerReference w:type="default" r:id="rId14"/>
      <w:pgSz w:w="16838" w:h="11906" w:orient="landscape"/>
      <w:pgMar w:top="1417" w:right="678" w:bottom="850" w:left="850" w:header="708" w:footer="0" w:gutter="0"/>
      <w:cols w:space="720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92A6" w16cex:dateUtc="2021-12-31T12:31:00Z"/>
  <w16cex:commentExtensible w16cex:durableId="257993F3" w16cex:dateUtc="2021-12-31T12:36:00Z"/>
  <w16cex:commentExtensible w16cex:durableId="257994A3" w16cex:dateUtc="2021-12-31T12:39:00Z"/>
  <w16cex:commentExtensible w16cex:durableId="2579921F" w16cex:dateUtc="2021-12-28T0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C00E5F" w16cid:durableId="257992A6"/>
  <w16cid:commentId w16cid:paraId="707F7191" w16cid:durableId="257993F3"/>
  <w16cid:commentId w16cid:paraId="64B0DC39" w16cid:durableId="257994A3"/>
  <w16cid:commentId w16cid:paraId="4F00DE31" w16cid:durableId="257992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BF65D" w14:textId="77777777" w:rsidR="006A6728" w:rsidRDefault="006A6728">
      <w:r>
        <w:separator/>
      </w:r>
    </w:p>
  </w:endnote>
  <w:endnote w:type="continuationSeparator" w:id="0">
    <w:p w14:paraId="035C478F" w14:textId="77777777" w:rsidR="006A6728" w:rsidRDefault="006A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0A318" w14:textId="77777777" w:rsidR="006A6728" w:rsidRDefault="006A6728">
      <w:r>
        <w:separator/>
      </w:r>
    </w:p>
  </w:footnote>
  <w:footnote w:type="continuationSeparator" w:id="0">
    <w:p w14:paraId="30AD6B8D" w14:textId="77777777" w:rsidR="006A6728" w:rsidRDefault="006A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321D9" w14:textId="44FF0B93" w:rsidR="00BB436F" w:rsidRDefault="00FC3834">
    <w:pPr>
      <w:pStyle w:val="af3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4B18BC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0185"/>
    <w:multiLevelType w:val="multilevel"/>
    <w:tmpl w:val="D1202F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32681B"/>
    <w:multiLevelType w:val="hybridMultilevel"/>
    <w:tmpl w:val="5ACE107E"/>
    <w:lvl w:ilvl="0" w:tplc="04220011">
      <w:start w:val="1"/>
      <w:numFmt w:val="decimal"/>
      <w:lvlText w:val="%1)"/>
      <w:lvlJc w:val="left"/>
      <w:pPr>
        <w:ind w:left="753" w:hanging="360"/>
      </w:pPr>
    </w:lvl>
    <w:lvl w:ilvl="1" w:tplc="04220019" w:tentative="1">
      <w:start w:val="1"/>
      <w:numFmt w:val="lowerLetter"/>
      <w:lvlText w:val="%2."/>
      <w:lvlJc w:val="left"/>
      <w:pPr>
        <w:ind w:left="1473" w:hanging="360"/>
      </w:pPr>
    </w:lvl>
    <w:lvl w:ilvl="2" w:tplc="0422001B" w:tentative="1">
      <w:start w:val="1"/>
      <w:numFmt w:val="lowerRoman"/>
      <w:lvlText w:val="%3."/>
      <w:lvlJc w:val="right"/>
      <w:pPr>
        <w:ind w:left="2193" w:hanging="180"/>
      </w:pPr>
    </w:lvl>
    <w:lvl w:ilvl="3" w:tplc="0422000F" w:tentative="1">
      <w:start w:val="1"/>
      <w:numFmt w:val="decimal"/>
      <w:lvlText w:val="%4."/>
      <w:lvlJc w:val="left"/>
      <w:pPr>
        <w:ind w:left="2913" w:hanging="360"/>
      </w:pPr>
    </w:lvl>
    <w:lvl w:ilvl="4" w:tplc="04220019" w:tentative="1">
      <w:start w:val="1"/>
      <w:numFmt w:val="lowerLetter"/>
      <w:lvlText w:val="%5."/>
      <w:lvlJc w:val="left"/>
      <w:pPr>
        <w:ind w:left="3633" w:hanging="360"/>
      </w:pPr>
    </w:lvl>
    <w:lvl w:ilvl="5" w:tplc="0422001B" w:tentative="1">
      <w:start w:val="1"/>
      <w:numFmt w:val="lowerRoman"/>
      <w:lvlText w:val="%6."/>
      <w:lvlJc w:val="right"/>
      <w:pPr>
        <w:ind w:left="4353" w:hanging="180"/>
      </w:pPr>
    </w:lvl>
    <w:lvl w:ilvl="6" w:tplc="0422000F" w:tentative="1">
      <w:start w:val="1"/>
      <w:numFmt w:val="decimal"/>
      <w:lvlText w:val="%7."/>
      <w:lvlJc w:val="left"/>
      <w:pPr>
        <w:ind w:left="5073" w:hanging="360"/>
      </w:pPr>
    </w:lvl>
    <w:lvl w:ilvl="7" w:tplc="04220019" w:tentative="1">
      <w:start w:val="1"/>
      <w:numFmt w:val="lowerLetter"/>
      <w:lvlText w:val="%8."/>
      <w:lvlJc w:val="left"/>
      <w:pPr>
        <w:ind w:left="5793" w:hanging="360"/>
      </w:pPr>
    </w:lvl>
    <w:lvl w:ilvl="8" w:tplc="0422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1EFF4DE4"/>
    <w:multiLevelType w:val="multilevel"/>
    <w:tmpl w:val="C10EEC08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210D6"/>
    <w:multiLevelType w:val="hybridMultilevel"/>
    <w:tmpl w:val="77427E1C"/>
    <w:lvl w:ilvl="0" w:tplc="7C3CADFE">
      <w:start w:val="1"/>
      <w:numFmt w:val="decimal"/>
      <w:suff w:val="space"/>
      <w:lvlText w:val="%1)"/>
      <w:lvlJc w:val="left"/>
      <w:pPr>
        <w:ind w:left="7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3" w:hanging="360"/>
      </w:pPr>
    </w:lvl>
    <w:lvl w:ilvl="2" w:tplc="0422001B" w:tentative="1">
      <w:start w:val="1"/>
      <w:numFmt w:val="lowerRoman"/>
      <w:lvlText w:val="%3."/>
      <w:lvlJc w:val="right"/>
      <w:pPr>
        <w:ind w:left="2193" w:hanging="180"/>
      </w:pPr>
    </w:lvl>
    <w:lvl w:ilvl="3" w:tplc="0422000F" w:tentative="1">
      <w:start w:val="1"/>
      <w:numFmt w:val="decimal"/>
      <w:lvlText w:val="%4."/>
      <w:lvlJc w:val="left"/>
      <w:pPr>
        <w:ind w:left="2913" w:hanging="360"/>
      </w:pPr>
    </w:lvl>
    <w:lvl w:ilvl="4" w:tplc="04220019" w:tentative="1">
      <w:start w:val="1"/>
      <w:numFmt w:val="lowerLetter"/>
      <w:lvlText w:val="%5."/>
      <w:lvlJc w:val="left"/>
      <w:pPr>
        <w:ind w:left="3633" w:hanging="360"/>
      </w:pPr>
    </w:lvl>
    <w:lvl w:ilvl="5" w:tplc="0422001B" w:tentative="1">
      <w:start w:val="1"/>
      <w:numFmt w:val="lowerRoman"/>
      <w:lvlText w:val="%6."/>
      <w:lvlJc w:val="right"/>
      <w:pPr>
        <w:ind w:left="4353" w:hanging="180"/>
      </w:pPr>
    </w:lvl>
    <w:lvl w:ilvl="6" w:tplc="0422000F" w:tentative="1">
      <w:start w:val="1"/>
      <w:numFmt w:val="decimal"/>
      <w:lvlText w:val="%7."/>
      <w:lvlJc w:val="left"/>
      <w:pPr>
        <w:ind w:left="5073" w:hanging="360"/>
      </w:pPr>
    </w:lvl>
    <w:lvl w:ilvl="7" w:tplc="04220019" w:tentative="1">
      <w:start w:val="1"/>
      <w:numFmt w:val="lowerLetter"/>
      <w:lvlText w:val="%8."/>
      <w:lvlJc w:val="left"/>
      <w:pPr>
        <w:ind w:left="5793" w:hanging="360"/>
      </w:pPr>
    </w:lvl>
    <w:lvl w:ilvl="8" w:tplc="0422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3968142E"/>
    <w:multiLevelType w:val="hybridMultilevel"/>
    <w:tmpl w:val="6338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57708"/>
    <w:multiLevelType w:val="multilevel"/>
    <w:tmpl w:val="7FE4E2EC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47E6B"/>
    <w:multiLevelType w:val="hybridMultilevel"/>
    <w:tmpl w:val="27A429CA"/>
    <w:lvl w:ilvl="0" w:tplc="BCCEDEB4">
      <w:start w:val="1"/>
      <w:numFmt w:val="decimal"/>
      <w:suff w:val="space"/>
      <w:lvlText w:val="%1)"/>
      <w:lvlJc w:val="left"/>
      <w:pPr>
        <w:ind w:left="75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73" w:hanging="360"/>
      </w:pPr>
    </w:lvl>
    <w:lvl w:ilvl="2" w:tplc="0422001B" w:tentative="1">
      <w:start w:val="1"/>
      <w:numFmt w:val="lowerRoman"/>
      <w:lvlText w:val="%3."/>
      <w:lvlJc w:val="right"/>
      <w:pPr>
        <w:ind w:left="2193" w:hanging="180"/>
      </w:pPr>
    </w:lvl>
    <w:lvl w:ilvl="3" w:tplc="0422000F" w:tentative="1">
      <w:start w:val="1"/>
      <w:numFmt w:val="decimal"/>
      <w:lvlText w:val="%4."/>
      <w:lvlJc w:val="left"/>
      <w:pPr>
        <w:ind w:left="2913" w:hanging="360"/>
      </w:pPr>
    </w:lvl>
    <w:lvl w:ilvl="4" w:tplc="04220019" w:tentative="1">
      <w:start w:val="1"/>
      <w:numFmt w:val="lowerLetter"/>
      <w:lvlText w:val="%5."/>
      <w:lvlJc w:val="left"/>
      <w:pPr>
        <w:ind w:left="3633" w:hanging="360"/>
      </w:pPr>
    </w:lvl>
    <w:lvl w:ilvl="5" w:tplc="0422001B" w:tentative="1">
      <w:start w:val="1"/>
      <w:numFmt w:val="lowerRoman"/>
      <w:lvlText w:val="%6."/>
      <w:lvlJc w:val="right"/>
      <w:pPr>
        <w:ind w:left="4353" w:hanging="180"/>
      </w:pPr>
    </w:lvl>
    <w:lvl w:ilvl="6" w:tplc="0422000F" w:tentative="1">
      <w:start w:val="1"/>
      <w:numFmt w:val="decimal"/>
      <w:lvlText w:val="%7."/>
      <w:lvlJc w:val="left"/>
      <w:pPr>
        <w:ind w:left="5073" w:hanging="360"/>
      </w:pPr>
    </w:lvl>
    <w:lvl w:ilvl="7" w:tplc="04220019" w:tentative="1">
      <w:start w:val="1"/>
      <w:numFmt w:val="lowerLetter"/>
      <w:lvlText w:val="%8."/>
      <w:lvlJc w:val="left"/>
      <w:pPr>
        <w:ind w:left="5793" w:hanging="360"/>
      </w:pPr>
    </w:lvl>
    <w:lvl w:ilvl="8" w:tplc="0422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6F"/>
    <w:rsid w:val="000140B5"/>
    <w:rsid w:val="00016355"/>
    <w:rsid w:val="00070BDA"/>
    <w:rsid w:val="00076105"/>
    <w:rsid w:val="0009301E"/>
    <w:rsid w:val="000954B5"/>
    <w:rsid w:val="00097B76"/>
    <w:rsid w:val="000B3AFC"/>
    <w:rsid w:val="000E6DAC"/>
    <w:rsid w:val="000F6089"/>
    <w:rsid w:val="0011080A"/>
    <w:rsid w:val="00116CFB"/>
    <w:rsid w:val="001204D1"/>
    <w:rsid w:val="001437DF"/>
    <w:rsid w:val="00150847"/>
    <w:rsid w:val="00150C1F"/>
    <w:rsid w:val="001534AA"/>
    <w:rsid w:val="00154A74"/>
    <w:rsid w:val="00156C43"/>
    <w:rsid w:val="00162984"/>
    <w:rsid w:val="00172651"/>
    <w:rsid w:val="00172C70"/>
    <w:rsid w:val="00180E66"/>
    <w:rsid w:val="00194366"/>
    <w:rsid w:val="001A0DD7"/>
    <w:rsid w:val="001A116D"/>
    <w:rsid w:val="001A30E5"/>
    <w:rsid w:val="001B0FF9"/>
    <w:rsid w:val="001D7466"/>
    <w:rsid w:val="001E1752"/>
    <w:rsid w:val="002055F8"/>
    <w:rsid w:val="002058EF"/>
    <w:rsid w:val="00210D71"/>
    <w:rsid w:val="00234339"/>
    <w:rsid w:val="00254DDD"/>
    <w:rsid w:val="002666BF"/>
    <w:rsid w:val="0027696D"/>
    <w:rsid w:val="00281263"/>
    <w:rsid w:val="00284922"/>
    <w:rsid w:val="0028668A"/>
    <w:rsid w:val="00292278"/>
    <w:rsid w:val="002A02DB"/>
    <w:rsid w:val="002A08F0"/>
    <w:rsid w:val="002B5541"/>
    <w:rsid w:val="002E1FBB"/>
    <w:rsid w:val="002E362C"/>
    <w:rsid w:val="002E6B13"/>
    <w:rsid w:val="002F0A81"/>
    <w:rsid w:val="002F283C"/>
    <w:rsid w:val="002F6EC8"/>
    <w:rsid w:val="003052E8"/>
    <w:rsid w:val="003148C3"/>
    <w:rsid w:val="00327290"/>
    <w:rsid w:val="00344F00"/>
    <w:rsid w:val="00355F44"/>
    <w:rsid w:val="003708E3"/>
    <w:rsid w:val="003714AC"/>
    <w:rsid w:val="00375E8A"/>
    <w:rsid w:val="00381D53"/>
    <w:rsid w:val="00393516"/>
    <w:rsid w:val="003A56F9"/>
    <w:rsid w:val="003C00DE"/>
    <w:rsid w:val="003C2F57"/>
    <w:rsid w:val="003D6D47"/>
    <w:rsid w:val="00412915"/>
    <w:rsid w:val="0043247A"/>
    <w:rsid w:val="00434FAF"/>
    <w:rsid w:val="00444A1E"/>
    <w:rsid w:val="00446522"/>
    <w:rsid w:val="004516F6"/>
    <w:rsid w:val="0045207A"/>
    <w:rsid w:val="0045551B"/>
    <w:rsid w:val="00460B5D"/>
    <w:rsid w:val="00464FB9"/>
    <w:rsid w:val="00470E59"/>
    <w:rsid w:val="00474ABA"/>
    <w:rsid w:val="004754EE"/>
    <w:rsid w:val="00477215"/>
    <w:rsid w:val="00485187"/>
    <w:rsid w:val="00490309"/>
    <w:rsid w:val="004B18BC"/>
    <w:rsid w:val="004B6BCE"/>
    <w:rsid w:val="004C5AE5"/>
    <w:rsid w:val="004F0B1B"/>
    <w:rsid w:val="004F0BEC"/>
    <w:rsid w:val="0050040B"/>
    <w:rsid w:val="00503342"/>
    <w:rsid w:val="00507D76"/>
    <w:rsid w:val="00515AAF"/>
    <w:rsid w:val="00521FFB"/>
    <w:rsid w:val="005340A1"/>
    <w:rsid w:val="00535C88"/>
    <w:rsid w:val="005423E9"/>
    <w:rsid w:val="00543EBF"/>
    <w:rsid w:val="00567E92"/>
    <w:rsid w:val="00573F32"/>
    <w:rsid w:val="00576863"/>
    <w:rsid w:val="005B3AFC"/>
    <w:rsid w:val="005B65CC"/>
    <w:rsid w:val="005C1DED"/>
    <w:rsid w:val="005C6AA3"/>
    <w:rsid w:val="005D043F"/>
    <w:rsid w:val="005E2BB6"/>
    <w:rsid w:val="005F7807"/>
    <w:rsid w:val="0060253D"/>
    <w:rsid w:val="00603144"/>
    <w:rsid w:val="00607004"/>
    <w:rsid w:val="00616676"/>
    <w:rsid w:val="006366F4"/>
    <w:rsid w:val="0064135A"/>
    <w:rsid w:val="00651F61"/>
    <w:rsid w:val="006573E2"/>
    <w:rsid w:val="0067117C"/>
    <w:rsid w:val="006826FD"/>
    <w:rsid w:val="00686EFA"/>
    <w:rsid w:val="006A6728"/>
    <w:rsid w:val="006C4B41"/>
    <w:rsid w:val="006C5F70"/>
    <w:rsid w:val="006C65AA"/>
    <w:rsid w:val="006D2617"/>
    <w:rsid w:val="006D6D52"/>
    <w:rsid w:val="006E6285"/>
    <w:rsid w:val="006F1E2B"/>
    <w:rsid w:val="006F4A6B"/>
    <w:rsid w:val="00716218"/>
    <w:rsid w:val="00724B7B"/>
    <w:rsid w:val="00743826"/>
    <w:rsid w:val="00750322"/>
    <w:rsid w:val="00793208"/>
    <w:rsid w:val="00796CB5"/>
    <w:rsid w:val="007B7A3E"/>
    <w:rsid w:val="007C6E78"/>
    <w:rsid w:val="007D0235"/>
    <w:rsid w:val="007E2850"/>
    <w:rsid w:val="007E3F72"/>
    <w:rsid w:val="007F1BA1"/>
    <w:rsid w:val="007F3EAB"/>
    <w:rsid w:val="007F4FCD"/>
    <w:rsid w:val="00813C05"/>
    <w:rsid w:val="00814BC1"/>
    <w:rsid w:val="00826BCA"/>
    <w:rsid w:val="00831755"/>
    <w:rsid w:val="00833F91"/>
    <w:rsid w:val="0083675D"/>
    <w:rsid w:val="008373CC"/>
    <w:rsid w:val="0085206D"/>
    <w:rsid w:val="0087366C"/>
    <w:rsid w:val="00881920"/>
    <w:rsid w:val="008B032A"/>
    <w:rsid w:val="008B06C8"/>
    <w:rsid w:val="008C0376"/>
    <w:rsid w:val="008C2168"/>
    <w:rsid w:val="008C6779"/>
    <w:rsid w:val="008D3361"/>
    <w:rsid w:val="008D64E7"/>
    <w:rsid w:val="008E457D"/>
    <w:rsid w:val="00946163"/>
    <w:rsid w:val="009640A7"/>
    <w:rsid w:val="009807B3"/>
    <w:rsid w:val="009937DA"/>
    <w:rsid w:val="00994DA5"/>
    <w:rsid w:val="009D629A"/>
    <w:rsid w:val="009E4FF4"/>
    <w:rsid w:val="009F4FDB"/>
    <w:rsid w:val="00A02721"/>
    <w:rsid w:val="00A438D9"/>
    <w:rsid w:val="00A43AB9"/>
    <w:rsid w:val="00A47C5C"/>
    <w:rsid w:val="00A50BBD"/>
    <w:rsid w:val="00A56505"/>
    <w:rsid w:val="00A8487F"/>
    <w:rsid w:val="00AB0456"/>
    <w:rsid w:val="00AB6E72"/>
    <w:rsid w:val="00AE4111"/>
    <w:rsid w:val="00B03C98"/>
    <w:rsid w:val="00B055D6"/>
    <w:rsid w:val="00B06FC3"/>
    <w:rsid w:val="00B269E8"/>
    <w:rsid w:val="00B512D6"/>
    <w:rsid w:val="00B66F80"/>
    <w:rsid w:val="00B7460F"/>
    <w:rsid w:val="00B771D9"/>
    <w:rsid w:val="00B845A4"/>
    <w:rsid w:val="00BA4E16"/>
    <w:rsid w:val="00BB436F"/>
    <w:rsid w:val="00BC1EC8"/>
    <w:rsid w:val="00BC30E7"/>
    <w:rsid w:val="00BC6765"/>
    <w:rsid w:val="00BC76E7"/>
    <w:rsid w:val="00BD3996"/>
    <w:rsid w:val="00BE11C7"/>
    <w:rsid w:val="00BE3C8E"/>
    <w:rsid w:val="00C11569"/>
    <w:rsid w:val="00C34C36"/>
    <w:rsid w:val="00C44F75"/>
    <w:rsid w:val="00C47C30"/>
    <w:rsid w:val="00C627AE"/>
    <w:rsid w:val="00C77E7B"/>
    <w:rsid w:val="00CA4196"/>
    <w:rsid w:val="00CB3FCC"/>
    <w:rsid w:val="00CE570B"/>
    <w:rsid w:val="00CF2775"/>
    <w:rsid w:val="00D13A83"/>
    <w:rsid w:val="00D16634"/>
    <w:rsid w:val="00D206A2"/>
    <w:rsid w:val="00D35251"/>
    <w:rsid w:val="00D57278"/>
    <w:rsid w:val="00D6410A"/>
    <w:rsid w:val="00D66206"/>
    <w:rsid w:val="00D7332A"/>
    <w:rsid w:val="00D92FCD"/>
    <w:rsid w:val="00DB0531"/>
    <w:rsid w:val="00DD19DA"/>
    <w:rsid w:val="00DD1C7B"/>
    <w:rsid w:val="00DF3B12"/>
    <w:rsid w:val="00E05F20"/>
    <w:rsid w:val="00E10C71"/>
    <w:rsid w:val="00E15A12"/>
    <w:rsid w:val="00E15C90"/>
    <w:rsid w:val="00E45A71"/>
    <w:rsid w:val="00E55437"/>
    <w:rsid w:val="00E5568E"/>
    <w:rsid w:val="00E64AC9"/>
    <w:rsid w:val="00E82674"/>
    <w:rsid w:val="00E8548E"/>
    <w:rsid w:val="00EA56F9"/>
    <w:rsid w:val="00EB55F0"/>
    <w:rsid w:val="00EB5B4B"/>
    <w:rsid w:val="00EC2041"/>
    <w:rsid w:val="00EE1485"/>
    <w:rsid w:val="00EF381F"/>
    <w:rsid w:val="00F151FC"/>
    <w:rsid w:val="00F17A9C"/>
    <w:rsid w:val="00F31DF6"/>
    <w:rsid w:val="00F361BD"/>
    <w:rsid w:val="00F37B7D"/>
    <w:rsid w:val="00F42C9D"/>
    <w:rsid w:val="00F457ED"/>
    <w:rsid w:val="00F470C0"/>
    <w:rsid w:val="00F543CC"/>
    <w:rsid w:val="00F552F8"/>
    <w:rsid w:val="00F61342"/>
    <w:rsid w:val="00F674FB"/>
    <w:rsid w:val="00F75363"/>
    <w:rsid w:val="00F84E06"/>
    <w:rsid w:val="00F86018"/>
    <w:rsid w:val="00FA03AC"/>
    <w:rsid w:val="00FA2AF5"/>
    <w:rsid w:val="00FC3834"/>
    <w:rsid w:val="00FC6199"/>
    <w:rsid w:val="00FC7DE4"/>
    <w:rsid w:val="00FE68AD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808C"/>
  <w15:docId w15:val="{2177F3BF-F62F-41D8-B485-A61A037E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4B5"/>
    <w:rPr>
      <w:rFonts w:ascii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qFormat/>
    <w:pPr>
      <w:keepNext/>
      <w:keepLines/>
      <w:spacing w:before="240" w:after="240" w:line="252" w:lineRule="auto"/>
      <w:jc w:val="center"/>
      <w:outlineLvl w:val="0"/>
    </w:pPr>
    <w:rPr>
      <w:rFonts w:cs="Tahoma"/>
      <w:b/>
      <w:sz w:val="28"/>
      <w:szCs w:val="32"/>
      <w:lang w:eastAsia="en-US"/>
    </w:rPr>
  </w:style>
  <w:style w:type="paragraph" w:styleId="2">
    <w:name w:val="heading 2"/>
    <w:basedOn w:val="a"/>
    <w:next w:val="a"/>
    <w:qFormat/>
    <w:pPr>
      <w:keepNext/>
      <w:keepLines/>
      <w:spacing w:before="40"/>
      <w:outlineLvl w:val="1"/>
    </w:pPr>
    <w:rPr>
      <w:rFonts w:ascii="Calibri Light" w:hAnsi="Calibri Light" w:cs="Tahoma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Текст примітки Знак4"/>
    <w:basedOn w:val="a0"/>
    <w:link w:val="a3"/>
    <w:qFormat/>
    <w:rPr>
      <w:rFonts w:ascii="Times New Roman" w:eastAsia="Calibri" w:hAnsi="Times New Roman" w:cs="Tahoma"/>
      <w:b/>
      <w:sz w:val="28"/>
      <w:szCs w:val="32"/>
    </w:rPr>
  </w:style>
  <w:style w:type="character" w:customStyle="1" w:styleId="ListLabel8">
    <w:name w:val="ListLabel 8"/>
    <w:qFormat/>
    <w:rPr>
      <w:bCs/>
      <w:color w:val="000000"/>
      <w:szCs w:val="28"/>
    </w:rPr>
  </w:style>
  <w:style w:type="character" w:customStyle="1" w:styleId="20">
    <w:name w:val="Заголовок 2 Знак"/>
    <w:basedOn w:val="a0"/>
    <w:qFormat/>
    <w:rPr>
      <w:rFonts w:ascii="Calibri Light" w:eastAsia="Calibri" w:hAnsi="Calibri Light" w:cs="Tahoma"/>
      <w:color w:val="2E74B5"/>
      <w:sz w:val="26"/>
      <w:szCs w:val="26"/>
      <w:lang w:eastAsia="uk-UA"/>
    </w:rPr>
  </w:style>
  <w:style w:type="character" w:customStyle="1" w:styleId="a4">
    <w:name w:val="Текст примітки Знак"/>
    <w:basedOn w:val="a0"/>
    <w:uiPriority w:val="9"/>
    <w:qFormat/>
    <w:rPr>
      <w:rFonts w:ascii="Times New Roman" w:eastAsia="Calibri" w:hAnsi="Times New Roman" w:cs="Tahoma"/>
      <w:b/>
      <w:sz w:val="28"/>
      <w:szCs w:val="32"/>
    </w:rPr>
  </w:style>
  <w:style w:type="character" w:styleId="a5">
    <w:name w:val="annotation reference"/>
    <w:basedOn w:val="a0"/>
    <w:uiPriority w:val="99"/>
    <w:qFormat/>
    <w:rPr>
      <w:sz w:val="16"/>
      <w:szCs w:val="16"/>
    </w:rPr>
  </w:style>
  <w:style w:type="character" w:customStyle="1" w:styleId="rvts46">
    <w:name w:val="rvts46"/>
    <w:basedOn w:val="a0"/>
    <w:qFormat/>
  </w:style>
  <w:style w:type="character" w:customStyle="1" w:styleId="21">
    <w:name w:val="Текст примітки Знак2"/>
    <w:basedOn w:val="a0"/>
    <w:qFormat/>
    <w:rPr>
      <w:rFonts w:ascii="Times New Roman" w:eastAsia="Calibri" w:hAnsi="Times New Roman" w:cs="Tahoma"/>
      <w:b/>
      <w:sz w:val="28"/>
      <w:szCs w:val="32"/>
    </w:rPr>
  </w:style>
  <w:style w:type="character" w:customStyle="1" w:styleId="a6">
    <w:name w:val="Текст у виносці Знак"/>
    <w:basedOn w:val="a0"/>
    <w:qFormat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7">
    <w:name w:val="Верхній колонтитул Знак"/>
    <w:basedOn w:val="a0"/>
    <w:qFormat/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8">
    <w:name w:val="Нижній колонтитул Знак"/>
    <w:basedOn w:val="a0"/>
    <w:qFormat/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9">
    <w:name w:val="Тема примітки Знак"/>
    <w:basedOn w:val="a4"/>
    <w:qFormat/>
    <w:rPr>
      <w:rFonts w:ascii="Times New Roman" w:eastAsia="Calibri" w:hAnsi="Times New Roman" w:cs="Times New Roman"/>
      <w:b/>
      <w:bCs/>
      <w:sz w:val="20"/>
      <w:szCs w:val="20"/>
      <w:lang w:eastAsia="uk-UA"/>
    </w:rPr>
  </w:style>
  <w:style w:type="character" w:customStyle="1" w:styleId="10">
    <w:name w:val="Гіперпосилання1"/>
    <w:basedOn w:val="a0"/>
    <w:qFormat/>
    <w:rPr>
      <w:color w:val="0000FF"/>
      <w:u w:val="single"/>
    </w:rPr>
  </w:style>
  <w:style w:type="character" w:customStyle="1" w:styleId="aa">
    <w:name w:val="Абзац списку Знак"/>
    <w:basedOn w:val="a0"/>
    <w:qFormat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bCs/>
      <w:color w:val="000000"/>
      <w:szCs w:val="28"/>
      <w:u w:val="none"/>
    </w:rPr>
  </w:style>
  <w:style w:type="character" w:customStyle="1" w:styleId="11">
    <w:name w:val="Текст примітки Знак1"/>
    <w:basedOn w:val="a0"/>
    <w:uiPriority w:val="9"/>
    <w:qFormat/>
    <w:rsid w:val="000523DB"/>
    <w:rPr>
      <w:rFonts w:ascii="Times New Roman" w:hAnsi="Times New Roman"/>
      <w:b/>
      <w:sz w:val="28"/>
      <w:szCs w:val="32"/>
    </w:rPr>
  </w:style>
  <w:style w:type="character" w:customStyle="1" w:styleId="3">
    <w:name w:val="Текст примітки Знак3"/>
    <w:basedOn w:val="a0"/>
    <w:uiPriority w:val="9"/>
    <w:qFormat/>
    <w:rsid w:val="00FC3588"/>
    <w:rPr>
      <w:rFonts w:ascii="Times New Roman" w:eastAsiaTheme="majorEastAsia" w:hAnsi="Times New Roman" w:cstheme="majorBidi"/>
      <w:b/>
      <w:sz w:val="28"/>
      <w:szCs w:val="32"/>
    </w:rPr>
  </w:style>
  <w:style w:type="character" w:styleId="ab">
    <w:name w:val="FollowedHyperlink"/>
    <w:basedOn w:val="a0"/>
    <w:uiPriority w:val="99"/>
    <w:semiHidden/>
    <w:unhideWhenUsed/>
    <w:qFormat/>
    <w:rsid w:val="002E580B"/>
    <w:rPr>
      <w:color w:val="954F72" w:themeColor="followedHyperlink"/>
      <w:u w:val="single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eastAsia="Calibri"/>
      <w:bCs/>
      <w:color w:val="000000"/>
      <w:szCs w:val="28"/>
      <w:u w:val="none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Calibri"/>
    </w:rPr>
  </w:style>
  <w:style w:type="character" w:customStyle="1" w:styleId="22">
    <w:name w:val="Гіперпосилання2"/>
    <w:qFormat/>
    <w:rPr>
      <w:color w:val="000080"/>
      <w:u w:val="single"/>
    </w:rPr>
  </w:style>
  <w:style w:type="character" w:customStyle="1" w:styleId="ListLabel17">
    <w:name w:val="ListLabel 17"/>
    <w:qFormat/>
    <w:rPr>
      <w:rFonts w:eastAsia="Calibri"/>
      <w:bCs/>
      <w:color w:val="000000"/>
      <w:szCs w:val="28"/>
      <w:u w:val="none"/>
    </w:rPr>
  </w:style>
  <w:style w:type="character" w:customStyle="1" w:styleId="rvts9">
    <w:name w:val="rvts9"/>
    <w:basedOn w:val="a0"/>
    <w:qFormat/>
    <w:rsid w:val="00151E0C"/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rFonts w:eastAsia="Calibri"/>
    </w:rPr>
  </w:style>
  <w:style w:type="character" w:customStyle="1" w:styleId="ListLabel20">
    <w:name w:val="ListLabel 20"/>
    <w:qFormat/>
    <w:rPr>
      <w:rFonts w:eastAsia="Calibri"/>
      <w:bCs/>
      <w:color w:val="000000"/>
      <w:szCs w:val="28"/>
      <w:u w:val="none"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rFonts w:eastAsia="Calibri"/>
    </w:rPr>
  </w:style>
  <w:style w:type="character" w:customStyle="1" w:styleId="ListLabel23">
    <w:name w:val="ListLabel 23"/>
    <w:qFormat/>
    <w:rPr>
      <w:rFonts w:eastAsia="Calibri"/>
      <w:bCs/>
      <w:color w:val="000000"/>
      <w:szCs w:val="28"/>
      <w:u w:val="none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eastAsia="Calibri"/>
    </w:rPr>
  </w:style>
  <w:style w:type="character" w:customStyle="1" w:styleId="ListLabel26">
    <w:name w:val="ListLabel 26"/>
    <w:qFormat/>
    <w:rPr>
      <w:rFonts w:eastAsia="Calibri"/>
      <w:bCs/>
      <w:color w:val="000000"/>
      <w:szCs w:val="28"/>
      <w:u w:val="none"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rFonts w:eastAsia="Calibri"/>
    </w:rPr>
  </w:style>
  <w:style w:type="character" w:customStyle="1" w:styleId="30">
    <w:name w:val="Гіперпосилання3"/>
    <w:rPr>
      <w:color w:val="000080"/>
      <w:u w:val="single"/>
    </w:rPr>
  </w:style>
  <w:style w:type="character" w:customStyle="1" w:styleId="ListLabel29">
    <w:name w:val="ListLabel 29"/>
    <w:qFormat/>
    <w:rPr>
      <w:rFonts w:eastAsia="Calibri"/>
      <w:bCs/>
      <w:color w:val="000000"/>
      <w:szCs w:val="28"/>
      <w:u w:val="none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 Unicode M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13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Normal (Web)"/>
    <w:basedOn w:val="a"/>
    <w:qFormat/>
    <w:pPr>
      <w:spacing w:before="280" w:after="280"/>
    </w:pPr>
    <w:rPr>
      <w:rFonts w:eastAsia="Times New Roman"/>
    </w:rPr>
  </w:style>
  <w:style w:type="paragraph" w:customStyle="1" w:styleId="rvps2">
    <w:name w:val="rvps2"/>
    <w:basedOn w:val="a"/>
    <w:qFormat/>
    <w:pPr>
      <w:spacing w:before="280" w:after="280"/>
    </w:pPr>
    <w:rPr>
      <w:rFonts w:eastAsia="Times New Roman"/>
      <w:sz w:val="28"/>
    </w:rPr>
  </w:style>
  <w:style w:type="paragraph" w:styleId="a3">
    <w:name w:val="annotation text"/>
    <w:basedOn w:val="a"/>
    <w:link w:val="4"/>
    <w:qFormat/>
    <w:pPr>
      <w:spacing w:after="160"/>
    </w:pPr>
    <w:rPr>
      <w:rFonts w:cs="Tahoma"/>
      <w:b/>
      <w:sz w:val="28"/>
      <w:szCs w:val="32"/>
      <w:lang w:eastAsia="en-US"/>
    </w:rPr>
  </w:style>
  <w:style w:type="paragraph" w:styleId="af1">
    <w:name w:val="List Paragraph"/>
    <w:basedOn w:val="a"/>
    <w:uiPriority w:val="34"/>
    <w:qFormat/>
    <w:pPr>
      <w:ind w:left="720"/>
      <w:contextualSpacing/>
      <w:jc w:val="both"/>
    </w:pPr>
    <w:rPr>
      <w:rFonts w:eastAsia="Times New Roman"/>
      <w:sz w:val="28"/>
      <w:szCs w:val="28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header"/>
    <w:basedOn w:val="a"/>
    <w:pPr>
      <w:tabs>
        <w:tab w:val="center" w:pos="4819"/>
        <w:tab w:val="right" w:pos="9639"/>
      </w:tabs>
    </w:p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styleId="af5">
    <w:name w:val="annotation subject"/>
    <w:basedOn w:val="a3"/>
    <w:next w:val="a3"/>
    <w:qFormat/>
    <w:pPr>
      <w:spacing w:after="0"/>
    </w:pPr>
    <w:rPr>
      <w:rFonts w:cs="Times New Roman"/>
      <w:bCs/>
      <w:sz w:val="20"/>
      <w:szCs w:val="20"/>
      <w:lang w:eastAsia="uk-UA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af6">
    <w:name w:val="Вміст таблиці"/>
    <w:basedOn w:val="a"/>
    <w:qFormat/>
    <w:pPr>
      <w:suppressLineNumbers/>
    </w:pPr>
  </w:style>
  <w:style w:type="paragraph" w:styleId="af7">
    <w:name w:val="Revision"/>
    <w:uiPriority w:val="99"/>
    <w:semiHidden/>
    <w:qFormat/>
    <w:rsid w:val="00787610"/>
    <w:rPr>
      <w:rFonts w:ascii="Times New Roman" w:hAnsi="Times New Roman" w:cs="Times New Roman"/>
      <w:sz w:val="24"/>
      <w:szCs w:val="24"/>
      <w:lang w:eastAsia="uk-UA"/>
    </w:rPr>
  </w:style>
  <w:style w:type="table" w:styleId="af8">
    <w:name w:val="Table Grid"/>
    <w:basedOn w:val="a1"/>
    <w:uiPriority w:val="59"/>
    <w:rsid w:val="00F31DF6"/>
    <w:rPr>
      <w:rFonts w:asciiTheme="minorHAnsi" w:eastAsia="Times New Roman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37">
    <w:name w:val="rvts37"/>
    <w:basedOn w:val="a0"/>
    <w:rsid w:val="00F86018"/>
  </w:style>
  <w:style w:type="character" w:styleId="af9">
    <w:name w:val="Hyperlink"/>
    <w:basedOn w:val="a0"/>
    <w:uiPriority w:val="99"/>
    <w:semiHidden/>
    <w:unhideWhenUsed/>
    <w:rsid w:val="00D92FCD"/>
    <w:rPr>
      <w:color w:val="0000FF"/>
      <w:u w:val="single"/>
    </w:rPr>
  </w:style>
  <w:style w:type="paragraph" w:customStyle="1" w:styleId="rvps12">
    <w:name w:val="rvps12"/>
    <w:basedOn w:val="a"/>
    <w:rsid w:val="00576863"/>
    <w:pPr>
      <w:spacing w:before="100" w:beforeAutospacing="1" w:after="100" w:afterAutospacing="1"/>
    </w:pPr>
    <w:rPr>
      <w:rFonts w:eastAsia="Times New Roman"/>
    </w:rPr>
  </w:style>
  <w:style w:type="character" w:customStyle="1" w:styleId="rvts11">
    <w:name w:val="rvts11"/>
    <w:basedOn w:val="a0"/>
    <w:rsid w:val="00576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0184500-22" TargetMode="External"/><Relationship Id="rId13" Type="http://schemas.openxmlformats.org/officeDocument/2006/relationships/hyperlink" Target="https://zakon.rada.gov.ua/laws/show/v0184500-22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v0184500-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file/imgs/100/p518417n172-1.bmp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v0184500-2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7257-1CFE-41E0-BA31-71AF090B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3608</Words>
  <Characters>2057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Жигінас Владислав Васильович</dc:creator>
  <dc:description/>
  <cp:lastModifiedBy>Онищенко Олексій Юрійович</cp:lastModifiedBy>
  <cp:revision>2</cp:revision>
  <cp:lastPrinted>2021-04-07T09:01:00Z</cp:lastPrinted>
  <dcterms:created xsi:type="dcterms:W3CDTF">2024-05-20T10:54:00Z</dcterms:created>
  <dcterms:modified xsi:type="dcterms:W3CDTF">2024-05-20T10:54:00Z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NBU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