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AE" w:rsidRPr="00E102F3" w:rsidRDefault="00436D56" w:rsidP="004E4D9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Контроль п</w:t>
      </w:r>
      <w:r w:rsidR="00103334" w:rsidRPr="00E102F3">
        <w:rPr>
          <w:rFonts w:ascii="Times New Roman" w:hAnsi="Times New Roman" w:cs="Times New Roman"/>
          <w:b/>
          <w:sz w:val="28"/>
          <w:szCs w:val="28"/>
          <w:u w:val="single"/>
        </w:rPr>
        <w:t>оказників A3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</w:rPr>
        <w:t xml:space="preserve">P001 </w:t>
      </w:r>
      <w:r w:rsidR="00103334" w:rsidRPr="00E102F3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</w:rPr>
        <w:t xml:space="preserve"> A</w:t>
      </w:r>
      <w:r w:rsidR="00103334" w:rsidRPr="00E102F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</w:rPr>
        <w:t>P007 файлу 3</w:t>
      </w:r>
      <w:r w:rsidR="007E68AE" w:rsidRPr="00E102F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PX</w:t>
      </w:r>
    </w:p>
    <w:p w:rsidR="00C51773" w:rsidRPr="00E102F3" w:rsidRDefault="00C51773" w:rsidP="004E4D9B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91674" w:rsidRPr="00E102F3" w:rsidRDefault="00B91674" w:rsidP="004E4D9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2F3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5164FB" w:rsidRPr="00E102F3" w:rsidRDefault="005164FB" w:rsidP="004E4D9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921A3" w:rsidRPr="00E102F3" w:rsidRDefault="00877665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313E9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spellStart"/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</w:t>
      </w:r>
      <w:proofErr w:type="spellEnd"/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наявність значень у </w:t>
      </w:r>
      <w:r w:rsidR="003B3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Q001_1, Q001_3, Q003_1, Q003_2, Q003_3, Q007_1, Q007_2, Q007_5, </w:t>
      </w:r>
      <w:r w:rsidR="0068461F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Q007_9, </w:t>
      </w:r>
      <w:r w:rsidR="003B3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Q011_2, Q021, K020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164FB" w:rsidRPr="00E102F3" w:rsidRDefault="00877665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належності значень Параметрів </w:t>
      </w:r>
      <w:r w:rsidR="007101D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030_1,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030_2,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009,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036,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070,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0B4EE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050,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41D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184</w:t>
      </w:r>
      <w:r w:rsidR="003D03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164F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відповідних Довідників.</w:t>
      </w:r>
    </w:p>
    <w:p w:rsidR="009B7E0E" w:rsidRPr="00E102F3" w:rsidRDefault="00877665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недопустимість від’ємного значення метрики (</w:t>
      </w:r>
      <w:r w:rsidR="00F039B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071&gt;0).</w:t>
      </w:r>
    </w:p>
    <w:p w:rsidR="009B7E0E" w:rsidRPr="00E102F3" w:rsidRDefault="00877665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Параметри </w:t>
      </w:r>
      <w:r w:rsidR="00F039B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030_1,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030_2,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070, 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9B7E0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не дорівнюють #. </w:t>
      </w:r>
    </w:p>
    <w:p w:rsidR="00342A8F" w:rsidRPr="00E102F3" w:rsidRDefault="00342A8F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Контроль на дублюючі записи. Перевірка на наявність більше одного запису з переліком однакових </w:t>
      </w:r>
      <w:r w:rsidR="00ED285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показника), значень параметрів R030_1 (код валюти угоди), R030_2 (код валюти розрахунків)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21DB1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46C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F009 (код типу джерела фінансування), F010 (код типу угоди),F011 (код графіка погашення платежів), F012 (код типу форми власності), F014 (код виду подання звіту),  </w:t>
      </w:r>
      <w:r w:rsidR="0043528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F028 (код виду заборгованості),</w:t>
      </w:r>
      <w:r w:rsidR="0045780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F036 (код використання процентної ставки), F045 (код ознаки кредиту), F047 (код виду позичальника, F048 (тип % ставки), F050 (код цілі використання кредиту), F052 (код типу кредитора), F054 (Код періодичнос</w:t>
      </w:r>
      <w:r w:rsidR="000B6DA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ті здійснення платежів), F055 (к</w:t>
      </w:r>
      <w:r w:rsidR="0045780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типу кредиту)</w:t>
      </w:r>
      <w:r w:rsidR="006533A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3528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F070 (код типу реорганізації), 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3C1C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(код типу строковості), </w:t>
      </w:r>
      <w:r w:rsidR="00F039B8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020 (код позичальника), Q003_2 (номер</w:t>
      </w:r>
      <w:r w:rsidR="00FB118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654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облікового запису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Q003_3 (порядковий номер траншу), 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Q007_1 (дата першого амортизаційного платежу), НРП Q007_2 (дата останнього амортизаційного платежу), НРП Q007_3 (початкова дата періоду консолідації), НРП Q007_4 (кінцева дата періоду консолідації), НРП Q007_5 (дата укладання угоди про надання кредиту), НРП Q007_6 (дата першого платежу за процентами), НРП Q007_7 (дата останнього платежу за процентами), НРП Q007_8 (дата, починаючи з якої проценти сплачуються за другою процентною ставкою або використовується друге значення маржі),</w:t>
      </w:r>
      <w:r w:rsidR="000B6DA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Q0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07_9 (дата</w:t>
      </w:r>
      <w:r w:rsidR="00FB118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654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присвоєння облікового запису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Q010_1 (період часу між одержанням кожної частини кредиту та першим амортизаційним платежем),  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Q010_2 (період по місяцях), Q010_3 (період по роках)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, НРП Q011_1 (кількість амортизаційних платежів за кожним надходженням за борговим зобов'язанням за рік), НРП Q011_2 (кількість платежів за рік), НРП Q012_1 (база 1 для обчислення плаваючої (змінюваної) процентної ставки за кредитом), НРП Q012_2 (база 2 для обчислення плаваючої (змінюваної) процентної ставки за кредитом), НРП Q013 (розмір маржі процентної ставки за кредитом), НРП Q021 (</w:t>
      </w:r>
      <w:r w:rsidR="002C2E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 кредитної угоди з</w:t>
      </w:r>
      <w:r w:rsidR="006F138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нерезидентом)</w:t>
      </w:r>
      <w:r w:rsidR="00E03F3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277D3E" w:rsidRDefault="00277D3E" w:rsidP="004E4D9B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6. Значення метрики T071 повинно надаватися без використання розділового знаку або з одним знаком після крапки.</w:t>
      </w:r>
    </w:p>
    <w:p w:rsidR="00DC4FFF" w:rsidRPr="00DC4FFF" w:rsidRDefault="00DC4FFF" w:rsidP="004E4D9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FFF">
        <w:rPr>
          <w:rFonts w:ascii="Times New Roman" w:hAnsi="Times New Roman" w:cs="Times New Roman"/>
          <w:sz w:val="28"/>
          <w:szCs w:val="28"/>
        </w:rPr>
        <w:t xml:space="preserve">7. </w:t>
      </w:r>
      <w:r w:rsidRPr="00DC4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Pr="00DC4F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C4F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054</w:t>
      </w:r>
      <w:r w:rsidRPr="00DC4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дорівнює </w:t>
      </w:r>
      <w:r w:rsidRPr="00DC4F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7, 8, 9, </w:t>
      </w:r>
      <w:r w:rsidRPr="00DC4F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C4F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DC4FF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C4FF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91674" w:rsidRPr="00E102F3" w:rsidRDefault="00B91674" w:rsidP="004E4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E102F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Логічний контроль (вторинний)</w:t>
      </w:r>
    </w:p>
    <w:p w:rsidR="00B91674" w:rsidRPr="00E102F3" w:rsidRDefault="00B91674" w:rsidP="004E4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C0969" w:rsidRPr="00E102F3" w:rsidRDefault="008A7A79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F8682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A3P001 </w:t>
      </w:r>
      <w:r w:rsidR="00C80A0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C0969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укладання угоди. Дата угоди (НРП </w:t>
      </w:r>
      <w:r w:rsidR="002C0969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C0969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007_5) </w:t>
      </w:r>
      <w:r w:rsidR="008601A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меншою за звітну дату. При недотриманні у</w:t>
      </w:r>
      <w:r w:rsidR="00A4771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мови</w:t>
      </w:r>
      <w:r w:rsidR="008601A3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угоди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007_5=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007_5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Звітна дата=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менше дати угоди. Для аналізу: </w:t>
      </w:r>
      <w:r w:rsidR="00EF660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F660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FC55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C55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601A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23C0F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80A08" w:rsidRPr="00E102F3" w:rsidRDefault="00C80A08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Для Показника A3P002 здійснюється перевірка </w:t>
      </w:r>
      <w:r w:rsidR="00023428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правильності надання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кредиту. Сума одержаного кредиту 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 з метрикою </w:t>
      </w:r>
      <w:r w:rsidR="00057CF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071)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загальну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суму </w:t>
      </w:r>
      <w:r w:rsidR="00A4771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кредитної угоди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A30BD4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одержанного кредиту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30BD4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</w:t>
      </w:r>
      <w:r w:rsidR="00E24AA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Для </w:t>
      </w:r>
      <w:proofErr w:type="spellStart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D087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C6490" w:rsidRPr="00E102F3" w:rsidRDefault="003534E7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EC649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коду типу строковості </w:t>
      </w:r>
      <w:r w:rsidR="00EC649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C649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050:</w:t>
      </w:r>
    </w:p>
    <w:p w:rsidR="00AD1766" w:rsidRPr="00E102F3" w:rsidRDefault="00EC6490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A3P001 – A3P006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начення Параметру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не повинно дорівнювати #.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строковості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050=#. Для аналізу: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3534E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D1766" w:rsidRPr="00E102F3" w:rsidRDefault="00EC6490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534E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A3P007 значення Параметру 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AD176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повинно дорівнювати #.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строковості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CC2450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C2450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AD176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44E2A" w:rsidRPr="00E102F3" w:rsidRDefault="00EC6490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Для </w:t>
      </w:r>
      <w:proofErr w:type="spellStart"/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Показників</w:t>
      </w:r>
      <w:proofErr w:type="spellEnd"/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A3P001, A3P004, A3P005, A3P006 значення Параметру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повинно дорівнювати 1, 2. При недотриманні умови надається повідомлення: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7270C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633F7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не </w:t>
      </w:r>
      <w:proofErr w:type="spellStart"/>
      <w:r w:rsidR="009633F7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дорівнює</w:t>
      </w:r>
      <w:proofErr w:type="spellEnd"/>
      <w:r w:rsidR="009633F7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1,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Для аналізу: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44E2A" w:rsidRPr="00E102F3" w:rsidRDefault="00EC6490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A3P002 значення Параметру 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E44E2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 повинно дорівнювати 1. При недотриманні умови надається повідомлення: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строковості S050 не дорівнює 1. Для аналізу: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E44E2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94B9A" w:rsidRPr="00E102F3" w:rsidRDefault="00EC6490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Показника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A3P002 перевірка правильності надання </w:t>
      </w:r>
      <w:r w:rsidR="00594B9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коду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заборгованості. Значення Параметру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</w:t>
      </w:r>
      <w:r w:rsidR="00594B9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дорівнювати 1. При недотриманні умови надається повідомлення: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виду заборгованості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028 не дорівнює 1</w:t>
      </w:r>
      <w:r w:rsidR="00594B9A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594B9A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775D2" w:rsidRPr="00E102F3" w:rsidRDefault="00877665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AA5B74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A3P001 - A3P00</w:t>
      </w:r>
      <w:r w:rsidR="007D23F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Q010_2 (період по місяцях, на які надається прогноз платежів за заборгованістю перед нерезидентами)</w:t>
      </w:r>
      <w:r w:rsidR="008853DB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B74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Q010_3 (період по роках, на які надається прогноз платежів за заборгованістю перед нерезидента) не заповнюються. При недотриманні умови надається повідомлення: 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період по місяцях Q010_2=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Q010_2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період по роках Q010_3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Q010_3</w:t>
      </w:r>
      <w:r w:rsidR="008853DB"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8B33D1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C775D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C775D2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3016" w:rsidRPr="00E102F3" w:rsidRDefault="00CB60AC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Сума строкових та прострочених платежів майбутніх періодів за основною сумою заборгованості (Показник A3P006 з параметрами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028=1,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не може перевищувати суму </w:t>
      </w:r>
      <w:r w:rsidR="00A4771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кредитної угоди 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строкових та прострочених платежів майбутніх періодів за основною сумою заборгованості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</w:t>
      </w:r>
      <w:r w:rsidR="00A47710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кредитної угоди </w:t>
      </w:r>
      <w:r w:rsidR="009A4D23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9A4D23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F3016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860622" w:rsidRPr="00E102F3" w:rsidRDefault="00860622" w:rsidP="004E4D9B">
      <w:pPr>
        <w:pStyle w:val="a3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102F3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102F3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суми операції (T071). Для всіх операцій крім операцій з банківськими металами (R030_1=959, 961, 962, 964 або R030_2=959, 961, 962, 964) значенням </w:t>
      </w:r>
      <w:r w:rsidR="00C9089B" w:rsidRPr="00E102F3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C9089B" w:rsidRPr="00E102F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102F3">
        <w:rPr>
          <w:rFonts w:ascii="Times New Roman" w:hAnsi="Times New Roman" w:cs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C9089B" w:rsidRPr="00E102F3">
        <w:rPr>
          <w:rFonts w:ascii="Times New Roman" w:hAnsi="Times New Roman" w:cs="Times New Roman"/>
          <w:b/>
          <w:bCs/>
          <w:sz w:val="28"/>
          <w:szCs w:val="28"/>
        </w:rPr>
        <w:t xml:space="preserve">“Значення метрики </w:t>
      </w:r>
      <w:r w:rsidR="00C9089B" w:rsidRPr="00E102F3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>071 повинно бути цілим числом (</w:t>
      </w:r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може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стити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після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коми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значення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відмінне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E102F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нуля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 xml:space="preserve">). Для аналізу: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E102F3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Pr="00E10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63F" w:rsidRPr="00E102F3" w:rsidRDefault="00FB763F" w:rsidP="004E4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442AA" w:rsidRPr="00E102F3" w:rsidRDefault="001442AA" w:rsidP="004E4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102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контроль вторинний між показниками.</w:t>
      </w:r>
    </w:p>
    <w:p w:rsidR="001442AA" w:rsidRPr="00E102F3" w:rsidRDefault="001442AA" w:rsidP="004E4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44F2" w:rsidRPr="00E102F3" w:rsidRDefault="00A8718D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EB1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B120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Різниця не повинна перевищувати 10 сотих часток одиниць валюти між о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сновн</w:t>
      </w:r>
      <w:r w:rsidR="009B120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9B120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A3P005 з параметрами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E878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ума </w:t>
      </w:r>
      <w:r w:rsidR="00E878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основної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заборгованості на початок звітного періоду (Показник A3P001 з параметрами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</w:t>
      </w:r>
      <w:r w:rsidR="00E878B7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A3P002 з параметрами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="00E632C9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550840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фактичних платежів за основною сумою заборгованості (Показник A3P003 з параметрами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– сума реорганізованих зобов’язань в рахунок погашення основної заборгованості (Показник A3P004 з параметрами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D44F2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звітну дату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 сума одержаного кредиту за звітний період – сума фактичних платежів за основною сумою заборгованості за звітний період – сума реорганізованих зобов’язань в рахунок погашення основної заборгованості. Для аналізу: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E878B7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A090C" w:rsidRPr="00E102F3" w:rsidRDefault="006F735E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81EB1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Різниця не повинна перевищувати 10 сотих часток одиниць валюти між с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ум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за основною сумою строкової заборгованості (Показник A3P006 з параметрами 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S050=1, F028=1) 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сновн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строкової заборгованості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(Показник A3P005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92643E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S050=1, 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036CD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платежів майбутніх періодів за основною сумою строкової заборгованості</w:t>
      </w:r>
      <w:r w:rsidR="005A090C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строкової заборгованості на звітну дату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CF50C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A090C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B40AE3" w:rsidRPr="00E102F3" w:rsidRDefault="00B40AE3" w:rsidP="004E4D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фактичних платежів за заборгованістю (Показник A3P003 з параметрами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050=1) не може перевищувати сум</w:t>
      </w:r>
      <w:r w:rsidR="00431525"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початок звітного періоду (Показник A3P001 з параметрами </w:t>
      </w:r>
      <w:r w:rsidRPr="00E102F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S050=1, 2). При недотриманні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умови надається повідомлення: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“Сума фактичних платежів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заборгованості на початок звітного періоду 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Для </w:t>
      </w:r>
      <w:proofErr w:type="spellStart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="0053546D"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007_9=… 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10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</w:t>
      </w:r>
      <w:r w:rsidRPr="00E102F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sectPr w:rsidR="00B40AE3" w:rsidRPr="00E10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36CD"/>
    <w:rsid w:val="0001322F"/>
    <w:rsid w:val="00017AE0"/>
    <w:rsid w:val="00023428"/>
    <w:rsid w:val="0002584F"/>
    <w:rsid w:val="000302A1"/>
    <w:rsid w:val="00031B3C"/>
    <w:rsid w:val="000436E0"/>
    <w:rsid w:val="00052408"/>
    <w:rsid w:val="00057CF7"/>
    <w:rsid w:val="0007775E"/>
    <w:rsid w:val="000804AC"/>
    <w:rsid w:val="0008288C"/>
    <w:rsid w:val="00083E55"/>
    <w:rsid w:val="0008654D"/>
    <w:rsid w:val="000952F2"/>
    <w:rsid w:val="000B426C"/>
    <w:rsid w:val="000B4EED"/>
    <w:rsid w:val="000B5D79"/>
    <w:rsid w:val="000B6DA5"/>
    <w:rsid w:val="000D646D"/>
    <w:rsid w:val="000E3BC2"/>
    <w:rsid w:val="000F3889"/>
    <w:rsid w:val="001007F1"/>
    <w:rsid w:val="0010097A"/>
    <w:rsid w:val="0010298B"/>
    <w:rsid w:val="00103334"/>
    <w:rsid w:val="00107AFC"/>
    <w:rsid w:val="00111054"/>
    <w:rsid w:val="001337E8"/>
    <w:rsid w:val="00135C48"/>
    <w:rsid w:val="00135D24"/>
    <w:rsid w:val="001442AA"/>
    <w:rsid w:val="00150584"/>
    <w:rsid w:val="001626B6"/>
    <w:rsid w:val="001833C8"/>
    <w:rsid w:val="0018362A"/>
    <w:rsid w:val="001A27D2"/>
    <w:rsid w:val="001C1A9F"/>
    <w:rsid w:val="001C3B31"/>
    <w:rsid w:val="001E0C6D"/>
    <w:rsid w:val="001E4071"/>
    <w:rsid w:val="001F5E18"/>
    <w:rsid w:val="001F716A"/>
    <w:rsid w:val="002015DB"/>
    <w:rsid w:val="002026D5"/>
    <w:rsid w:val="0020560A"/>
    <w:rsid w:val="0020569E"/>
    <w:rsid w:val="00211243"/>
    <w:rsid w:val="002163C3"/>
    <w:rsid w:val="002325BA"/>
    <w:rsid w:val="0025154D"/>
    <w:rsid w:val="00252BFE"/>
    <w:rsid w:val="00263F42"/>
    <w:rsid w:val="002728C2"/>
    <w:rsid w:val="00277745"/>
    <w:rsid w:val="00277D3E"/>
    <w:rsid w:val="002815A6"/>
    <w:rsid w:val="00281F14"/>
    <w:rsid w:val="0028674A"/>
    <w:rsid w:val="00293107"/>
    <w:rsid w:val="00295FFD"/>
    <w:rsid w:val="002C0969"/>
    <w:rsid w:val="002C2EB7"/>
    <w:rsid w:val="002E311A"/>
    <w:rsid w:val="002E3AB9"/>
    <w:rsid w:val="003208C5"/>
    <w:rsid w:val="00336FC7"/>
    <w:rsid w:val="00342A8F"/>
    <w:rsid w:val="003454DF"/>
    <w:rsid w:val="003470A2"/>
    <w:rsid w:val="00347C13"/>
    <w:rsid w:val="003534E7"/>
    <w:rsid w:val="00386B11"/>
    <w:rsid w:val="003876B0"/>
    <w:rsid w:val="00393BDB"/>
    <w:rsid w:val="003A24F7"/>
    <w:rsid w:val="003B1665"/>
    <w:rsid w:val="003B3BD4"/>
    <w:rsid w:val="003C1C24"/>
    <w:rsid w:val="003D0324"/>
    <w:rsid w:val="003F0533"/>
    <w:rsid w:val="003F3795"/>
    <w:rsid w:val="003F3AF9"/>
    <w:rsid w:val="00400971"/>
    <w:rsid w:val="00401AB7"/>
    <w:rsid w:val="00404C14"/>
    <w:rsid w:val="0040767A"/>
    <w:rsid w:val="00421E55"/>
    <w:rsid w:val="004236DE"/>
    <w:rsid w:val="00431525"/>
    <w:rsid w:val="00435286"/>
    <w:rsid w:val="00436D56"/>
    <w:rsid w:val="00440370"/>
    <w:rsid w:val="004550EA"/>
    <w:rsid w:val="00457802"/>
    <w:rsid w:val="00464DC9"/>
    <w:rsid w:val="00466634"/>
    <w:rsid w:val="0049016E"/>
    <w:rsid w:val="00495E1D"/>
    <w:rsid w:val="004C4DAF"/>
    <w:rsid w:val="004E19A1"/>
    <w:rsid w:val="004E1E26"/>
    <w:rsid w:val="004E4D9B"/>
    <w:rsid w:val="004E7B09"/>
    <w:rsid w:val="004F25C3"/>
    <w:rsid w:val="004F294F"/>
    <w:rsid w:val="004F425D"/>
    <w:rsid w:val="004F76C2"/>
    <w:rsid w:val="005036CC"/>
    <w:rsid w:val="00511733"/>
    <w:rsid w:val="005164FB"/>
    <w:rsid w:val="00526511"/>
    <w:rsid w:val="00527B6B"/>
    <w:rsid w:val="0053546D"/>
    <w:rsid w:val="005366BD"/>
    <w:rsid w:val="00536DD3"/>
    <w:rsid w:val="00543825"/>
    <w:rsid w:val="00550840"/>
    <w:rsid w:val="00556912"/>
    <w:rsid w:val="00567507"/>
    <w:rsid w:val="00580B1E"/>
    <w:rsid w:val="00593658"/>
    <w:rsid w:val="00594B9A"/>
    <w:rsid w:val="005969E0"/>
    <w:rsid w:val="005A0894"/>
    <w:rsid w:val="005A090C"/>
    <w:rsid w:val="005B137B"/>
    <w:rsid w:val="005D0663"/>
    <w:rsid w:val="005D3F7F"/>
    <w:rsid w:val="005F3016"/>
    <w:rsid w:val="005F5B7E"/>
    <w:rsid w:val="00603484"/>
    <w:rsid w:val="00637C95"/>
    <w:rsid w:val="006533AD"/>
    <w:rsid w:val="00660D90"/>
    <w:rsid w:val="00674782"/>
    <w:rsid w:val="00682B82"/>
    <w:rsid w:val="0068461F"/>
    <w:rsid w:val="00685069"/>
    <w:rsid w:val="00685C5B"/>
    <w:rsid w:val="00690B3E"/>
    <w:rsid w:val="006910F9"/>
    <w:rsid w:val="006919B2"/>
    <w:rsid w:val="00693E28"/>
    <w:rsid w:val="0069637D"/>
    <w:rsid w:val="00697D4A"/>
    <w:rsid w:val="006A0F33"/>
    <w:rsid w:val="006A3C9B"/>
    <w:rsid w:val="006A75B9"/>
    <w:rsid w:val="006C4EEE"/>
    <w:rsid w:val="006E251C"/>
    <w:rsid w:val="006F1383"/>
    <w:rsid w:val="006F58F9"/>
    <w:rsid w:val="006F735E"/>
    <w:rsid w:val="007073B2"/>
    <w:rsid w:val="007101DE"/>
    <w:rsid w:val="00717A1A"/>
    <w:rsid w:val="007270C2"/>
    <w:rsid w:val="0072758D"/>
    <w:rsid w:val="007313E9"/>
    <w:rsid w:val="007416B3"/>
    <w:rsid w:val="007818A7"/>
    <w:rsid w:val="00782B42"/>
    <w:rsid w:val="007946B0"/>
    <w:rsid w:val="007A3B4B"/>
    <w:rsid w:val="007B62E1"/>
    <w:rsid w:val="007B663A"/>
    <w:rsid w:val="007C5262"/>
    <w:rsid w:val="007D23FC"/>
    <w:rsid w:val="007D44F2"/>
    <w:rsid w:val="007D6A07"/>
    <w:rsid w:val="007E68AE"/>
    <w:rsid w:val="008003D4"/>
    <w:rsid w:val="00800E63"/>
    <w:rsid w:val="008021C7"/>
    <w:rsid w:val="00804BA3"/>
    <w:rsid w:val="00810907"/>
    <w:rsid w:val="00810BE2"/>
    <w:rsid w:val="00810C71"/>
    <w:rsid w:val="00835975"/>
    <w:rsid w:val="008429BD"/>
    <w:rsid w:val="008536BE"/>
    <w:rsid w:val="008601A3"/>
    <w:rsid w:val="00860622"/>
    <w:rsid w:val="00867EE7"/>
    <w:rsid w:val="00872B27"/>
    <w:rsid w:val="00875BED"/>
    <w:rsid w:val="00877665"/>
    <w:rsid w:val="00880FE4"/>
    <w:rsid w:val="008853DB"/>
    <w:rsid w:val="008A6B4E"/>
    <w:rsid w:val="008A7824"/>
    <w:rsid w:val="008A7A79"/>
    <w:rsid w:val="008B33D1"/>
    <w:rsid w:val="008C4DDC"/>
    <w:rsid w:val="008C6A32"/>
    <w:rsid w:val="008E4E84"/>
    <w:rsid w:val="008E64FF"/>
    <w:rsid w:val="008F3EDE"/>
    <w:rsid w:val="008F6DAD"/>
    <w:rsid w:val="0092643E"/>
    <w:rsid w:val="009362D3"/>
    <w:rsid w:val="009546C4"/>
    <w:rsid w:val="00961958"/>
    <w:rsid w:val="009633F7"/>
    <w:rsid w:val="009854BB"/>
    <w:rsid w:val="009857BE"/>
    <w:rsid w:val="0099323B"/>
    <w:rsid w:val="009A4213"/>
    <w:rsid w:val="009A4D23"/>
    <w:rsid w:val="009B1207"/>
    <w:rsid w:val="009B49A5"/>
    <w:rsid w:val="009B7E0E"/>
    <w:rsid w:val="009D6A8E"/>
    <w:rsid w:val="009E4A18"/>
    <w:rsid w:val="009F0E65"/>
    <w:rsid w:val="009F6009"/>
    <w:rsid w:val="00A21DB1"/>
    <w:rsid w:val="00A30BD4"/>
    <w:rsid w:val="00A34DDA"/>
    <w:rsid w:val="00A47710"/>
    <w:rsid w:val="00A47E85"/>
    <w:rsid w:val="00A513AA"/>
    <w:rsid w:val="00A5296E"/>
    <w:rsid w:val="00A548B8"/>
    <w:rsid w:val="00A55D6A"/>
    <w:rsid w:val="00A758EC"/>
    <w:rsid w:val="00A8001E"/>
    <w:rsid w:val="00A86637"/>
    <w:rsid w:val="00A8718D"/>
    <w:rsid w:val="00A97D19"/>
    <w:rsid w:val="00AA1BF1"/>
    <w:rsid w:val="00AA5B74"/>
    <w:rsid w:val="00AB7EB1"/>
    <w:rsid w:val="00AC2524"/>
    <w:rsid w:val="00AD1766"/>
    <w:rsid w:val="00AD6F66"/>
    <w:rsid w:val="00AD7213"/>
    <w:rsid w:val="00AE4108"/>
    <w:rsid w:val="00B031E6"/>
    <w:rsid w:val="00B07B33"/>
    <w:rsid w:val="00B17349"/>
    <w:rsid w:val="00B36E3E"/>
    <w:rsid w:val="00B40AE3"/>
    <w:rsid w:val="00B424A4"/>
    <w:rsid w:val="00B6705F"/>
    <w:rsid w:val="00B7499D"/>
    <w:rsid w:val="00B7509E"/>
    <w:rsid w:val="00B77433"/>
    <w:rsid w:val="00B857BE"/>
    <w:rsid w:val="00B91674"/>
    <w:rsid w:val="00BB4B0D"/>
    <w:rsid w:val="00BD4C56"/>
    <w:rsid w:val="00BE00C9"/>
    <w:rsid w:val="00BF176B"/>
    <w:rsid w:val="00BF6D78"/>
    <w:rsid w:val="00C04DBD"/>
    <w:rsid w:val="00C37B68"/>
    <w:rsid w:val="00C45ECC"/>
    <w:rsid w:val="00C50B73"/>
    <w:rsid w:val="00C51773"/>
    <w:rsid w:val="00C61EE0"/>
    <w:rsid w:val="00C70F97"/>
    <w:rsid w:val="00C775D2"/>
    <w:rsid w:val="00C77ED1"/>
    <w:rsid w:val="00C80A08"/>
    <w:rsid w:val="00C81EB1"/>
    <w:rsid w:val="00C85199"/>
    <w:rsid w:val="00C868DD"/>
    <w:rsid w:val="00C9089B"/>
    <w:rsid w:val="00C967E4"/>
    <w:rsid w:val="00C97CF6"/>
    <w:rsid w:val="00CA2C2A"/>
    <w:rsid w:val="00CA3001"/>
    <w:rsid w:val="00CA48DF"/>
    <w:rsid w:val="00CB541B"/>
    <w:rsid w:val="00CB60AC"/>
    <w:rsid w:val="00CC2450"/>
    <w:rsid w:val="00CD087A"/>
    <w:rsid w:val="00CE0016"/>
    <w:rsid w:val="00CE02C9"/>
    <w:rsid w:val="00CE6BE4"/>
    <w:rsid w:val="00CF50CC"/>
    <w:rsid w:val="00D0367C"/>
    <w:rsid w:val="00D1143C"/>
    <w:rsid w:val="00D16BAD"/>
    <w:rsid w:val="00D23C0F"/>
    <w:rsid w:val="00D43035"/>
    <w:rsid w:val="00D45016"/>
    <w:rsid w:val="00D5395B"/>
    <w:rsid w:val="00D53AA6"/>
    <w:rsid w:val="00D55B3C"/>
    <w:rsid w:val="00D72B3C"/>
    <w:rsid w:val="00D7302F"/>
    <w:rsid w:val="00D75811"/>
    <w:rsid w:val="00D76F3E"/>
    <w:rsid w:val="00D80584"/>
    <w:rsid w:val="00D92F1F"/>
    <w:rsid w:val="00DA758A"/>
    <w:rsid w:val="00DB75B7"/>
    <w:rsid w:val="00DC4FFF"/>
    <w:rsid w:val="00DD1DFC"/>
    <w:rsid w:val="00DD2CD5"/>
    <w:rsid w:val="00DE0FC6"/>
    <w:rsid w:val="00DE2E3F"/>
    <w:rsid w:val="00DF0AF4"/>
    <w:rsid w:val="00DF2ED5"/>
    <w:rsid w:val="00DF6378"/>
    <w:rsid w:val="00E02449"/>
    <w:rsid w:val="00E02A20"/>
    <w:rsid w:val="00E03F38"/>
    <w:rsid w:val="00E102F3"/>
    <w:rsid w:val="00E15966"/>
    <w:rsid w:val="00E17EB1"/>
    <w:rsid w:val="00E24AA6"/>
    <w:rsid w:val="00E41D38"/>
    <w:rsid w:val="00E44E2A"/>
    <w:rsid w:val="00E632C9"/>
    <w:rsid w:val="00E64F73"/>
    <w:rsid w:val="00E70EEA"/>
    <w:rsid w:val="00E878B7"/>
    <w:rsid w:val="00EB1BB5"/>
    <w:rsid w:val="00EC6490"/>
    <w:rsid w:val="00EC78A0"/>
    <w:rsid w:val="00ED285D"/>
    <w:rsid w:val="00EF27E7"/>
    <w:rsid w:val="00EF2EBE"/>
    <w:rsid w:val="00EF6606"/>
    <w:rsid w:val="00F039B8"/>
    <w:rsid w:val="00F073C2"/>
    <w:rsid w:val="00F179CC"/>
    <w:rsid w:val="00F35BCF"/>
    <w:rsid w:val="00F44157"/>
    <w:rsid w:val="00F5142D"/>
    <w:rsid w:val="00F54982"/>
    <w:rsid w:val="00F6708B"/>
    <w:rsid w:val="00F772BE"/>
    <w:rsid w:val="00F86730"/>
    <w:rsid w:val="00F86824"/>
    <w:rsid w:val="00F921A3"/>
    <w:rsid w:val="00FA2123"/>
    <w:rsid w:val="00FB0296"/>
    <w:rsid w:val="00FB0449"/>
    <w:rsid w:val="00FB1180"/>
    <w:rsid w:val="00FB6237"/>
    <w:rsid w:val="00FB763F"/>
    <w:rsid w:val="00FC5115"/>
    <w:rsid w:val="00FC55A3"/>
    <w:rsid w:val="00FF472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B78A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1DF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1DFC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1DF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666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466634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6663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6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6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5409</Words>
  <Characters>3084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7</cp:revision>
  <cp:lastPrinted>2018-05-22T07:13:00Z</cp:lastPrinted>
  <dcterms:created xsi:type="dcterms:W3CDTF">2023-12-20T12:54:00Z</dcterms:created>
  <dcterms:modified xsi:type="dcterms:W3CDTF">2023-12-21T08:31:00Z</dcterms:modified>
</cp:coreProperties>
</file>