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0DA5" w14:textId="77777777" w:rsidR="00502C8F" w:rsidRPr="00764579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14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</w:t>
      </w: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151</w:t>
      </w:r>
    </w:p>
    <w:p w14:paraId="7DD84955" w14:textId="77777777" w:rsidR="00502C8F" w:rsidRPr="003143D3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822C46" w14:textId="77777777" w:rsidR="00502C8F" w:rsidRPr="00764579" w:rsidRDefault="00502C8F" w:rsidP="00502C8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5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9DCF75E" w14:textId="77777777" w:rsid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D140, D130, F049, F053, F054_1, F054_2, </w:t>
      </w:r>
      <w:r w:rsidRPr="003143D3">
        <w:rPr>
          <w:rFonts w:ascii="Times New Roman" w:hAnsi="Times New Roman" w:cs="Times New Roman"/>
          <w:sz w:val="28"/>
          <w:szCs w:val="28"/>
        </w:rPr>
        <w:t>H</w:t>
      </w:r>
      <w:r w:rsidRPr="00764579">
        <w:rPr>
          <w:rFonts w:ascii="Times New Roman" w:hAnsi="Times New Roman" w:cs="Times New Roman"/>
          <w:sz w:val="28"/>
          <w:szCs w:val="28"/>
        </w:rPr>
        <w:t xml:space="preserve">062,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012,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021,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060,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070,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188, </w:t>
      </w:r>
      <w:r w:rsidR="00570F62" w:rsidRPr="003143D3">
        <w:rPr>
          <w:rFonts w:ascii="Times New Roman" w:hAnsi="Times New Roman" w:cs="Times New Roman"/>
          <w:sz w:val="28"/>
          <w:szCs w:val="28"/>
        </w:rPr>
        <w:t>S</w:t>
      </w:r>
      <w:r w:rsidR="00570F62" w:rsidRPr="00764579">
        <w:rPr>
          <w:rFonts w:ascii="Times New Roman" w:hAnsi="Times New Roman" w:cs="Times New Roman"/>
          <w:sz w:val="28"/>
          <w:szCs w:val="28"/>
        </w:rPr>
        <w:t>262</w:t>
      </w:r>
      <w:r w:rsidRPr="0076457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261 до відповідних довідників. </w:t>
      </w:r>
    </w:p>
    <w:p w14:paraId="58849241" w14:textId="036FF6F9" w:rsidR="00502C8F" w:rsidRP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6ABF">
        <w:rPr>
          <w:rFonts w:ascii="Times New Roman" w:hAnsi="Times New Roman" w:cs="Times New Roman"/>
          <w:sz w:val="28"/>
          <w:szCs w:val="28"/>
        </w:rPr>
        <w:t>Параметр F049</w:t>
      </w:r>
      <w:r w:rsidRPr="00D96ABF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</w:t>
      </w:r>
      <w:r w:rsidRPr="00764579">
        <w:t xml:space="preserve"> </w:t>
      </w:r>
      <w:r w:rsidR="00D96ABF" w:rsidRPr="00D96ABF">
        <w:rPr>
          <w:rFonts w:ascii="Times New Roman" w:eastAsia="Times New Roman" w:hAnsi="Times New Roman"/>
          <w:sz w:val="28"/>
          <w:szCs w:val="28"/>
          <w:lang w:eastAsia="uk-UA"/>
        </w:rPr>
        <w:t>1, 7, A, D, E, I.</w:t>
      </w:r>
    </w:p>
    <w:p w14:paraId="70EBA2E0" w14:textId="5ECC5989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Параметр K021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 w:rsidR="00BC7D86" w:rsidRPr="008C7C95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6,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B, </w:t>
      </w:r>
      <w:r w:rsidRPr="00764579">
        <w:rPr>
          <w:rFonts w:ascii="Times New Roman" w:eastAsia="Calibri" w:hAnsi="Times New Roman"/>
          <w:bCs/>
          <w:sz w:val="28"/>
          <w:szCs w:val="28"/>
        </w:rPr>
        <w:t>С, G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>, H, L</w:t>
      </w:r>
      <w:r w:rsidRPr="00764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44E5C" w14:textId="77777777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Параметр K060 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>03, 11, 12, 98, 99</w:t>
      </w:r>
      <w:r w:rsidRPr="00314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FEEB18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Параметр K070 повинен дорівнювати 14100, 14101, 14200, 14201, 14300, 14410, 14420, 14430, #.</w:t>
      </w:r>
    </w:p>
    <w:p w14:paraId="708DA6D9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7BCB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 F054_1 не повинен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дорівнювати #.</w:t>
      </w:r>
    </w:p>
    <w:p w14:paraId="0546B65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S262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 01, 03</w:t>
      </w:r>
      <w:r w:rsidRPr="00052144">
        <w:rPr>
          <w:rFonts w:ascii="Times New Roman" w:hAnsi="Times New Roman" w:cs="Times New Roman"/>
          <w:sz w:val="28"/>
          <w:szCs w:val="28"/>
        </w:rPr>
        <w:t xml:space="preserve">, 04,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05, 09, 10,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12, 13,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16, 25, 26, 27, 28, 29, 30,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31,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04CDE37A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S261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52144">
        <w:rPr>
          <w:rFonts w:ascii="Times New Roman" w:hAnsi="Times New Roman" w:cs="Times New Roman"/>
          <w:sz w:val="28"/>
          <w:szCs w:val="28"/>
        </w:rPr>
        <w:t>, #.</w:t>
      </w:r>
    </w:p>
    <w:p w14:paraId="699C77D0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sz w:val="28"/>
          <w:szCs w:val="28"/>
        </w:rPr>
        <w:t>020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sz w:val="28"/>
          <w:szCs w:val="28"/>
        </w:rPr>
        <w:t>001 (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Q003 (номер договору), Q003_1 (унікальний умовний порядковий номер договору),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>Q007_2 (дата укладення договору), Q007_5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32AD651E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410D01B8" w14:textId="77777777" w:rsidR="00764579" w:rsidRPr="009C67BC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67BC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9C67BC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9C67BC">
        <w:rPr>
          <w:rFonts w:ascii="Times New Roman" w:hAnsi="Times New Roman" w:cs="Times New Roman"/>
          <w:sz w:val="28"/>
          <w:szCs w:val="28"/>
        </w:rPr>
        <w:t xml:space="preserve">. Довжина НРП Q003_1 повинна складати не більше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7BC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9C67BC">
        <w:rPr>
          <w:rFonts w:ascii="Times New Roman" w:hAnsi="Times New Roman" w:cs="Times New Roman"/>
          <w:sz w:val="28"/>
          <w:szCs w:val="28"/>
        </w:rPr>
        <w:t>).</w:t>
      </w:r>
    </w:p>
    <w:p w14:paraId="2B07D72C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К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спілки), K020 (ідентифікаційний/реєстраційний код/номер),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521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D678F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4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4CEB8E98" w14:textId="77777777" w:rsidR="00764579" w:rsidRPr="00052144" w:rsidRDefault="00764579" w:rsidP="00764579">
      <w:pPr>
        <w:spacing w:before="120" w:after="120" w:line="240" w:lineRule="auto"/>
      </w:pPr>
    </w:p>
    <w:p w14:paraId="03CA4885" w14:textId="77777777" w:rsidR="00764579" w:rsidRPr="00052144" w:rsidRDefault="00764579" w:rsidP="0076457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024CCDFE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1510001 здійснюється перевірка надання можливих сполучень значень за параметрами D140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), D130 (код умови розрахунку за договором), F053 (код можливості дострокового погашення), </w:t>
      </w:r>
      <w:r w:rsidRPr="00052144">
        <w:rPr>
          <w:rFonts w:ascii="Times New Roman" w:hAnsi="Times New Roman" w:cs="Times New Roman"/>
          <w:sz w:val="28"/>
          <w:szCs w:val="28"/>
        </w:rPr>
        <w:lastRenderedPageBreak/>
        <w:t xml:space="preserve">F054_1 (код періодичності здійснення платежів для основної суми відповідно до умов договору), F054_2  (код періодичності здійснення платежів для процентів відповідно до умов договору), H062 (код способу укладення договору), K012 (код виду установи), 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K021 (код ознаки ідентифікаційного/реєстраційного коду/номера члена кредитної спілки), K070 (код інституційного сектору економіки), S188 (код виду строковості вкладу), S262 (вид кредиту за цільовим спрямуванням (деталізовано)), S261 (код виду кредиту за цільовим спрямуванням), НРП Q003_2 (номер Рішення кредитного комітету), НРП Q007_1 (дата Рішення кредитного комітету),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дата першого надання/ розміщення/ отримання коштів),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 НРП Q007_4 (дата останнього надання/ розміщення/ отримання коштів) </w:t>
      </w:r>
      <w:r w:rsidRPr="00052144">
        <w:rPr>
          <w:rFonts w:ascii="Times New Roman" w:hAnsi="Times New Roman" w:cs="Times New Roman"/>
          <w:sz w:val="28"/>
          <w:szCs w:val="28"/>
        </w:rPr>
        <w:t>в довіднику KOD_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151. При недотриманні умови надається повідомлення: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D140=[D140], D130=[D130], F053=[F053], F054_1=[F054_1], F054_2=[F054_2], H062=[H062], K012=[K012], K021=[K021], K070=[K070], S188=[S188], S262=[S262], S261=[S261], Q003_2=[Q003_2], Q007_1=[Q007_1], Q007_3=[Q007_3], Q007_4=[Q007_4] за довідником KOD_CR151. Для аналізу: K020=… 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b/>
          <w:sz w:val="28"/>
          <w:szCs w:val="28"/>
        </w:rPr>
        <w:t>003_1=…”.</w:t>
      </w:r>
    </w:p>
    <w:p w14:paraId="17FA9418" w14:textId="77777777" w:rsidR="00764579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57873B2D" w14:textId="33D4E930" w:rsidR="00764579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52144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</w:rPr>
        <w:t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05214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BE7D749" w14:textId="4F975CB2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(НРП K020). Для аналізу: K021 =…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83AD061" w14:textId="00E4AC28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>2.3.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3143D3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K020 =…”. </w:t>
      </w:r>
      <w:r w:rsidRPr="003143D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358F04D" w14:textId="324454C3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2.4. 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“Код банку-нерезидента (НРП K020) не знайдено у довіднику зарубіжних банків. Для аналізу: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A02A364" w14:textId="77777777" w:rsidR="00764579" w:rsidRPr="00052144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F60623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на правильність заповнення НРП Q003_1. Значення НРП Q003_1 не повинно бути менше “1”,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“Умовний порядковий номер договору [НРП Q003_1] не повинен бути менше “1”. Для аналізу: K020=… Q003_1=…”. </w:t>
      </w:r>
    </w:p>
    <w:p w14:paraId="6E5666EC" w14:textId="77777777" w:rsidR="00764579" w:rsidRPr="00052144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Дата укладення договору (НРП Q007_2) не повинна перевищувати дату закінчення строку дії договору (НРП Q007_5).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>“Дата укладення договору Q007_2 = [Q007_2] більше дати закінчення його строку дії [Q007_5]. Для аналізу: K020=… Q003_1=…”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4F78" w14:textId="11A0D8BC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Дата першого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Q007_3) не повинна перевищувати дату 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останнього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Q007_4). </w:t>
      </w:r>
      <w:r w:rsidRPr="00052144">
        <w:rPr>
          <w:rFonts w:ascii="Times New Roman" w:hAnsi="Times New Roman" w:cs="Times New Roman"/>
          <w:sz w:val="28"/>
          <w:szCs w:val="28"/>
        </w:rPr>
        <w:t>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2144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“Дата першого надання/розміщення/отримання коштів Q007_3 = [Q007_3] більше дати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останнього надання/розміщення/ отримання коштів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[Q007_4]. Для аналізу: K020=… Q003_1=…”.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A705914" w14:textId="1B7338CB" w:rsidR="00764579" w:rsidRPr="00D23DC3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Якщо надано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дату закінчення строку дії договору </w:t>
      </w:r>
      <w:r w:rsidRPr="00052144">
        <w:rPr>
          <w:rFonts w:ascii="Times New Roman" w:hAnsi="Times New Roman" w:cs="Times New Roman"/>
          <w:sz w:val="28"/>
          <w:szCs w:val="28"/>
        </w:rPr>
        <w:t>НРП Q007_7, то значення НРП Q007_6 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договору) </w:t>
      </w:r>
      <w:r w:rsidRPr="00052144">
        <w:rPr>
          <w:rFonts w:ascii="Times New Roman" w:hAnsi="Times New Roman" w:cs="Times New Roman"/>
          <w:sz w:val="28"/>
          <w:szCs w:val="28"/>
        </w:rPr>
        <w:t xml:space="preserve">має бути заповнено. При недотриманні умови надається повідомлення: </w:t>
      </w:r>
      <w:r w:rsidRPr="00052144">
        <w:rPr>
          <w:rFonts w:ascii="Times New Roman" w:hAnsi="Times New Roman"/>
          <w:b/>
          <w:bCs/>
          <w:sz w:val="28"/>
          <w:szCs w:val="28"/>
        </w:rPr>
        <w:t>“Не заповнена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останніх внесених змін до договору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Q007_6).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Q007_7=…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52144">
        <w:rPr>
          <w:rFonts w:ascii="Times New Roman" w:hAnsi="Times New Roman" w:cs="Times New Roman"/>
          <w:b/>
          <w:sz w:val="28"/>
          <w:szCs w:val="28"/>
        </w:rPr>
        <w:t>.</w:t>
      </w:r>
    </w:p>
    <w:p w14:paraId="2E567EF1" w14:textId="2D68AF2C" w:rsidR="00D23DC3" w:rsidRPr="00052144" w:rsidRDefault="00D23DC3" w:rsidP="00D23DC3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3DC3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інформації за кодом виду кредиту за цільовим спрямуванням (параметр S261). Якщо параметри D140=01, S262=03, 04, 05, 25, то параметр S261 має дорівнювати С, D, E. При недотриманні умови надається повідомлення: </w:t>
      </w:r>
      <w:r w:rsidRPr="00D23DC3">
        <w:rPr>
          <w:rFonts w:ascii="Times New Roman" w:hAnsi="Times New Roman" w:cs="Times New Roman"/>
          <w:b/>
          <w:sz w:val="28"/>
          <w:szCs w:val="28"/>
        </w:rPr>
        <w:t>“Для показника CR1510001 з параметрами D140=01, S262=03, 04, 05, 25 надано помилковий S261=[S261].  Для аналізу: Q003_1=…, K020=…, S262=…”</w:t>
      </w:r>
      <w:r w:rsidRPr="00D23DC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  <w:bookmarkStart w:id="0" w:name="_GoBack"/>
      <w:bookmarkEnd w:id="0"/>
    </w:p>
    <w:p w14:paraId="33162DBB" w14:textId="77777777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0D9D9F" w14:textId="122B1915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4A91D" w14:textId="77777777" w:rsidR="00764579" w:rsidRPr="00052144" w:rsidRDefault="00764579" w:rsidP="00764579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CR151 з даними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152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152 відсутній, то повідомлення не </w:t>
      </w:r>
      <w:r w:rsidRPr="00052144">
        <w:rPr>
          <w:rFonts w:ascii="Times New Roman" w:hAnsi="Times New Roman" w:cs="Times New Roman"/>
          <w:sz w:val="28"/>
          <w:szCs w:val="28"/>
        </w:rPr>
        <w:t>надається.</w:t>
      </w:r>
    </w:p>
    <w:p w14:paraId="79B89AE5" w14:textId="77777777" w:rsidR="00764579" w:rsidRPr="00052144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Q003_1 у файлах CR151 та CR152. Значення НРП K020 та НРП Q003_1, які надано у файлі CR151, повинні бути присутніми у файлі CR152. І навпаки: значення НРП K020 та НРП Q003_1, які надано у файлі CR152, повинні бути присутніми у файлі CR151.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CR151 та CR152. Дані за 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договорами за кредитами, розміщеними та отриманими кредитною спілкою коштами</w:t>
      </w:r>
      <w:r w:rsidRPr="00052144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K020=[K020], відсутні або у файлі CR151, або у файлі CR152 на відповідну звітну дату”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3A1B2978" w14:textId="77777777" w:rsidR="00764579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152, здійснюється перевірка наявності даних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в розрізі значень НРП K020 та параметра K021.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K021=[K021] наданий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3F12B82F" w14:textId="1A6DEB69" w:rsidR="00764579" w:rsidRDefault="00764579" w:rsidP="00764579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ECD824" w14:textId="77777777" w:rsidR="008D3209" w:rsidRPr="00052144" w:rsidRDefault="008D3209" w:rsidP="00764579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91E2B9" w14:textId="77777777" w:rsidR="003143D3" w:rsidRDefault="003143D3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0C9E0" w14:textId="6ECBB955" w:rsidR="00764579" w:rsidRPr="00965E97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06BD784F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14:paraId="2DBD31B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Q001 – до 500 символів.</w:t>
      </w:r>
    </w:p>
    <w:p w14:paraId="4E27EF4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 – до 100 символів.</w:t>
      </w:r>
    </w:p>
    <w:p w14:paraId="6D123A92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6F5DE873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Q003_2 – до 100 символів.</w:t>
      </w:r>
    </w:p>
    <w:p w14:paraId="00AB75E6" w14:textId="77777777" w:rsidR="00764579" w:rsidRPr="00052144" w:rsidRDefault="00764579" w:rsidP="00764579">
      <w:pPr>
        <w:spacing w:before="120" w:after="120" w:line="240" w:lineRule="auto"/>
        <w:jc w:val="both"/>
      </w:pPr>
    </w:p>
    <w:p w14:paraId="3459235B" w14:textId="5253203A" w:rsidR="00444247" w:rsidRPr="00764579" w:rsidRDefault="00444247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AE230A" w14:textId="77777777" w:rsidR="00AF7797" w:rsidRPr="00764579" w:rsidRDefault="00AF7797" w:rsidP="00444247">
      <w:pPr>
        <w:spacing w:before="120" w:after="120" w:line="240" w:lineRule="auto"/>
        <w:jc w:val="both"/>
      </w:pPr>
    </w:p>
    <w:sectPr w:rsidR="00AF7797" w:rsidRPr="0076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8F"/>
    <w:multiLevelType w:val="multilevel"/>
    <w:tmpl w:val="ED72E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6873C8"/>
    <w:multiLevelType w:val="multilevel"/>
    <w:tmpl w:val="448074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7DCE"/>
    <w:multiLevelType w:val="multilevel"/>
    <w:tmpl w:val="A282FA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02DF5"/>
    <w:multiLevelType w:val="multilevel"/>
    <w:tmpl w:val="BCDCE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6000FF"/>
    <w:multiLevelType w:val="multilevel"/>
    <w:tmpl w:val="D54C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26C2E"/>
    <w:multiLevelType w:val="multilevel"/>
    <w:tmpl w:val="B6AC70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8A"/>
    <w:rsid w:val="00054E01"/>
    <w:rsid w:val="00086E02"/>
    <w:rsid w:val="001779B8"/>
    <w:rsid w:val="001F2FAB"/>
    <w:rsid w:val="002408C0"/>
    <w:rsid w:val="00246008"/>
    <w:rsid w:val="0029708C"/>
    <w:rsid w:val="002C0245"/>
    <w:rsid w:val="003143D3"/>
    <w:rsid w:val="00361013"/>
    <w:rsid w:val="00444247"/>
    <w:rsid w:val="004F62B2"/>
    <w:rsid w:val="00502C8F"/>
    <w:rsid w:val="00504BD4"/>
    <w:rsid w:val="00570F62"/>
    <w:rsid w:val="005A1B15"/>
    <w:rsid w:val="005C3027"/>
    <w:rsid w:val="006A4499"/>
    <w:rsid w:val="00764579"/>
    <w:rsid w:val="007D5726"/>
    <w:rsid w:val="00831955"/>
    <w:rsid w:val="008D3209"/>
    <w:rsid w:val="00A144C8"/>
    <w:rsid w:val="00A64180"/>
    <w:rsid w:val="00AE2DF7"/>
    <w:rsid w:val="00AF2DD1"/>
    <w:rsid w:val="00AF7797"/>
    <w:rsid w:val="00B052FA"/>
    <w:rsid w:val="00B82015"/>
    <w:rsid w:val="00BC7D86"/>
    <w:rsid w:val="00C0323A"/>
    <w:rsid w:val="00C360BF"/>
    <w:rsid w:val="00C77DFB"/>
    <w:rsid w:val="00CD2302"/>
    <w:rsid w:val="00D23DC3"/>
    <w:rsid w:val="00D4128A"/>
    <w:rsid w:val="00D96ABF"/>
    <w:rsid w:val="00E56373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80FF"/>
  <w15:chartTrackingRefBased/>
  <w15:docId w15:val="{7D77F605-89BA-4590-98FA-135AC6E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2C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2C8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502C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02C8F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C0245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2C024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6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4974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Соломчак Оксана Михайлівна</cp:lastModifiedBy>
  <cp:revision>2</cp:revision>
  <dcterms:created xsi:type="dcterms:W3CDTF">2024-09-25T14:03:00Z</dcterms:created>
  <dcterms:modified xsi:type="dcterms:W3CDTF">2024-09-25T14:03:00Z</dcterms:modified>
</cp:coreProperties>
</file>