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C5" w:rsidRPr="005415A7"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 xml:space="preserve">Правила </w:t>
      </w:r>
      <w:r w:rsidRPr="005415A7">
        <w:rPr>
          <w:rFonts w:ascii="Times New Roman" w:eastAsia="Times New Roman" w:hAnsi="Times New Roman" w:cs="Times New Roman"/>
          <w:b/>
          <w:sz w:val="28"/>
          <w:szCs w:val="28"/>
          <w:u w:val="single"/>
          <w:lang w:eastAsia="uk-UA"/>
        </w:rPr>
        <w:t>формування</w:t>
      </w:r>
      <w:r w:rsidR="005F0DAD" w:rsidRPr="005415A7">
        <w:rPr>
          <w:rFonts w:ascii="Times New Roman" w:eastAsia="Times New Roman" w:hAnsi="Times New Roman" w:cs="Times New Roman"/>
          <w:b/>
          <w:sz w:val="28"/>
          <w:szCs w:val="28"/>
          <w:u w:val="single"/>
          <w:lang w:eastAsia="uk-UA"/>
        </w:rPr>
        <w:t xml:space="preserve"> показників</w:t>
      </w:r>
      <w:r w:rsidR="00E64AD0" w:rsidRPr="005415A7">
        <w:rPr>
          <w:rFonts w:ascii="Times New Roman" w:eastAsia="Times New Roman" w:hAnsi="Times New Roman" w:cs="Times New Roman"/>
          <w:b/>
          <w:sz w:val="28"/>
          <w:szCs w:val="28"/>
          <w:u w:val="single"/>
          <w:lang w:val="ru-RU" w:eastAsia="uk-UA"/>
        </w:rPr>
        <w:t xml:space="preserve"> </w:t>
      </w:r>
      <w:proofErr w:type="spellStart"/>
      <w:r w:rsidR="00E64AD0" w:rsidRPr="005415A7">
        <w:rPr>
          <w:rFonts w:ascii="Times New Roman" w:eastAsia="Times New Roman" w:hAnsi="Times New Roman" w:cs="Times New Roman"/>
          <w:b/>
          <w:sz w:val="28"/>
          <w:szCs w:val="28"/>
          <w:u w:val="single"/>
          <w:lang w:eastAsia="uk-UA"/>
        </w:rPr>
        <w:t>файла</w:t>
      </w:r>
      <w:proofErr w:type="spellEnd"/>
      <w:r w:rsidR="00E64AD0" w:rsidRPr="005415A7">
        <w:rPr>
          <w:rFonts w:ascii="Times New Roman" w:eastAsia="Times New Roman" w:hAnsi="Times New Roman" w:cs="Times New Roman"/>
          <w:b/>
          <w:sz w:val="28"/>
          <w:szCs w:val="28"/>
          <w:u w:val="single"/>
          <w:lang w:eastAsia="uk-UA"/>
        </w:rPr>
        <w:t xml:space="preserve"> 13Х “Дані про касові обороти</w:t>
      </w:r>
      <w:r w:rsidR="003C547C" w:rsidRPr="005415A7">
        <w:rPr>
          <w:rFonts w:ascii="Times New Roman" w:eastAsia="Times New Roman" w:hAnsi="Times New Roman" w:cs="Times New Roman"/>
          <w:b/>
          <w:sz w:val="28"/>
          <w:szCs w:val="28"/>
          <w:u w:val="single"/>
          <w:lang w:val="en-US" w:eastAsia="uk-UA"/>
        </w:rPr>
        <w:t xml:space="preserve"> </w:t>
      </w:r>
      <w:r w:rsidR="003C547C" w:rsidRPr="005415A7">
        <w:rPr>
          <w:rFonts w:ascii="Times New Roman" w:eastAsia="Times New Roman" w:hAnsi="Times New Roman" w:cs="Times New Roman"/>
          <w:b/>
          <w:sz w:val="28"/>
          <w:szCs w:val="28"/>
          <w:u w:val="single"/>
          <w:lang w:eastAsia="uk-UA"/>
        </w:rPr>
        <w:t>та залишки готівки в касах банку</w:t>
      </w:r>
      <w:r w:rsidR="00E64AD0" w:rsidRPr="005415A7">
        <w:rPr>
          <w:rFonts w:ascii="Times New Roman" w:eastAsia="Times New Roman" w:hAnsi="Times New Roman" w:cs="Times New Roman"/>
          <w:b/>
          <w:sz w:val="28"/>
          <w:szCs w:val="28"/>
          <w:u w:val="single"/>
          <w:lang w:eastAsia="uk-UA"/>
        </w:rPr>
        <w:t>”</w:t>
      </w:r>
    </w:p>
    <w:p w:rsidR="0025451C" w:rsidRPr="003B44E6" w:rsidRDefault="002419C5" w:rsidP="005F0DAD">
      <w:pPr>
        <w:spacing w:after="120" w:line="240" w:lineRule="auto"/>
        <w:ind w:firstLine="709"/>
        <w:rPr>
          <w:rFonts w:ascii="Times New Roman" w:eastAsia="Times New Roman" w:hAnsi="Times New Roman" w:cs="Times New Roman"/>
          <w:b/>
          <w:sz w:val="28"/>
          <w:szCs w:val="28"/>
          <w:u w:val="single"/>
          <w:lang w:eastAsia="uk-UA"/>
        </w:rPr>
      </w:pPr>
      <w:r w:rsidRPr="003B44E6">
        <w:rPr>
          <w:rFonts w:ascii="Times New Roman" w:eastAsia="Times New Roman" w:hAnsi="Times New Roman" w:cs="Times New Roman"/>
          <w:b/>
          <w:sz w:val="28"/>
          <w:szCs w:val="28"/>
          <w:u w:val="single"/>
          <w:lang w:eastAsia="uk-UA"/>
        </w:rPr>
        <w:t xml:space="preserve">І. </w:t>
      </w:r>
      <w:r w:rsidR="0025451C" w:rsidRPr="003B44E6">
        <w:rPr>
          <w:rFonts w:ascii="Times New Roman" w:eastAsia="Times New Roman" w:hAnsi="Times New Roman" w:cs="Times New Roman"/>
          <w:b/>
          <w:sz w:val="28"/>
          <w:szCs w:val="28"/>
          <w:u w:val="single"/>
          <w:lang w:val="en-US" w:eastAsia="uk-UA"/>
        </w:rPr>
        <w:t>A</w:t>
      </w:r>
      <w:r w:rsidR="001D28D6" w:rsidRPr="003B44E6">
        <w:rPr>
          <w:rFonts w:ascii="Times New Roman" w:eastAsia="Times New Roman" w:hAnsi="Times New Roman" w:cs="Times New Roman"/>
          <w:b/>
          <w:sz w:val="28"/>
          <w:szCs w:val="28"/>
          <w:u w:val="single"/>
          <w:lang w:eastAsia="uk-UA"/>
        </w:rPr>
        <w:t>1</w:t>
      </w:r>
      <w:r w:rsidR="001C7387" w:rsidRPr="001C7387">
        <w:rPr>
          <w:rFonts w:ascii="Times New Roman" w:eastAsia="Times New Roman" w:hAnsi="Times New Roman" w:cs="Times New Roman"/>
          <w:b/>
          <w:sz w:val="28"/>
          <w:szCs w:val="28"/>
          <w:u w:val="single"/>
          <w:lang w:val="ru-RU" w:eastAsia="uk-UA"/>
        </w:rPr>
        <w:t>3</w:t>
      </w:r>
      <w:r w:rsidR="0025451C" w:rsidRPr="003B44E6">
        <w:rPr>
          <w:rFonts w:ascii="Times New Roman" w:eastAsia="Times New Roman" w:hAnsi="Times New Roman" w:cs="Times New Roman"/>
          <w:b/>
          <w:sz w:val="28"/>
          <w:szCs w:val="28"/>
          <w:u w:val="single"/>
          <w:lang w:eastAsia="uk-UA"/>
        </w:rPr>
        <w:t>001</w:t>
      </w:r>
      <w:r w:rsidRPr="003B44E6">
        <w:rPr>
          <w:rFonts w:ascii="Times New Roman" w:eastAsia="Times New Roman" w:hAnsi="Times New Roman" w:cs="Times New Roman"/>
          <w:b/>
          <w:sz w:val="28"/>
          <w:szCs w:val="28"/>
          <w:u w:val="single"/>
          <w:lang w:eastAsia="uk-UA"/>
        </w:rPr>
        <w:t xml:space="preserve"> “Надходження (переміщення) готівки”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Параметр D010 - код касового символу (довідник D010).</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Показник складається за даними бухгалтерського обліку надходжень готівки, які фіксуються в журналах обліку надходжень готівки із зазначенням касового символу.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Символи за надходженням готівки визначаються за зазначеним у кожному касовому документі на внесення готівки видом платежу або джерелом походження готівкових коштів (наприклад, торговельна виручка, виручка за надані конкретні види послуг, повернення заробітної плати тощо). Підприємства, що мають надходження з різних джерел або різні види платежів, зазначають їх окремими сумами за кожним джерелом або видом платежу.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Відображення касових операцій (приймання готівки для подальшого переказу) із застосуванням платіжних пристроїв здійснюється за символами на загальних засадах відповідно до економічного змісту операції (призначення платежу).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5. Загальний підсумок надходжень за символами 02 – 39, за винятком символу 35, має збігатися з касовими оборотами за дебетом балансових рахунків 1001, 1002, 1003, 1004.</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6. Різниця між даними за символами 66 і 39 має дорівнювати різниці залишків готівки за рахунком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w:t>
      </w:r>
      <w:proofErr w:type="spellStart"/>
      <w:r w:rsidRPr="001C7387">
        <w:rPr>
          <w:rFonts w:ascii="Times New Roman" w:eastAsia="Times New Roman" w:hAnsi="Times New Roman" w:cs="Times New Roman"/>
          <w:sz w:val="28"/>
          <w:szCs w:val="28"/>
          <w:lang w:eastAsia="uk-UA"/>
        </w:rPr>
        <w:t>невідповідностей</w:t>
      </w:r>
      <w:proofErr w:type="spellEnd"/>
      <w:r w:rsidRPr="001C7387">
        <w:rPr>
          <w:rFonts w:ascii="Times New Roman" w:eastAsia="Times New Roman" w:hAnsi="Times New Roman" w:cs="Times New Roman"/>
          <w:sz w:val="28"/>
          <w:szCs w:val="28"/>
          <w:lang w:eastAsia="uk-UA"/>
        </w:rPr>
        <w:t xml:space="preserve"> за символами 66 і 39 та невиконання умов логічного контролю, банк – юридична особа в день подання показників має надавати повідомлення за місяць через засоби програмного комплексу АРМ </w:t>
      </w:r>
      <w:r w:rsidR="0083618D" w:rsidRPr="0083618D">
        <w:rPr>
          <w:rFonts w:ascii="Times New Roman" w:eastAsia="Times New Roman" w:hAnsi="Times New Roman" w:cs="Times New Roman"/>
          <w:sz w:val="28"/>
          <w:szCs w:val="28"/>
          <w:lang w:val="ru-RU" w:eastAsia="uk-UA"/>
        </w:rPr>
        <w:t>“</w:t>
      </w:r>
      <w:r w:rsidRPr="001C7387">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83618D">
        <w:rPr>
          <w:rFonts w:ascii="Times New Roman" w:eastAsia="Times New Roman" w:hAnsi="Times New Roman" w:cs="Times New Roman"/>
          <w:sz w:val="28"/>
          <w:szCs w:val="28"/>
          <w:lang w:val="ru-RU" w:eastAsia="uk-UA"/>
        </w:rPr>
        <w:t>”</w:t>
      </w:r>
      <w:r w:rsidRPr="001C7387">
        <w:rPr>
          <w:rFonts w:ascii="Times New Roman" w:eastAsia="Times New Roman" w:hAnsi="Times New Roman" w:cs="Times New Roman"/>
          <w:sz w:val="28"/>
          <w:szCs w:val="28"/>
          <w:lang w:eastAsia="uk-UA"/>
        </w:rPr>
        <w:t xml:space="preserve"> або як виняток засобами електронного зв'язку за погодженням із Департаментом грошового обігу.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 дані про інші чинники, що впливають на невідповідність між даними показників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13Х і даними балансу у розрізі регіонів.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7. Банк перевіряє відповідність між даними за символом 37 і даними повідомлень про суми передавання готівки, що надаються через засоби програмного комплексу АРМ </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 xml:space="preserve">Автоматизація оброблення заявок банків на </w:t>
      </w:r>
      <w:r w:rsidRPr="001C7387">
        <w:rPr>
          <w:rFonts w:ascii="Times New Roman" w:eastAsia="Times New Roman" w:hAnsi="Times New Roman" w:cs="Times New Roman"/>
          <w:sz w:val="28"/>
          <w:szCs w:val="28"/>
          <w:lang w:eastAsia="uk-UA"/>
        </w:rPr>
        <w:lastRenderedPageBreak/>
        <w:t>підкріплення готівкою, вивезення її надлишків і не придатних до обігу банкнот і монет</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33 та даними операцій, щодо зменшення запасів готівки НБУ в програмному комплексі САГО ПТЗ </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Уповноважені банки</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9. Баланс із надходження готівки до каси банку (символи 02-39) має збігатися з балансом з видачі готівки з кас банків (символи 40-73).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10. Загальні дані в цілому по банку – юридичній особі за символами із зарахування коштів на вкладні рахунки фізичних осіб 16 і 29 (у частині операцій, відображених за відповідними рахунками груп 262, 263 у балансі банку, що складає показники), 84, 86, 87, 88 порівнюються з оборотами за кредитом відповідних рахунків груп 262, 263 балансу.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 місячні дані за символами 39, 36, 37 звіряються з даними програмного комплексу АРМ </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 xml:space="preserve">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рахунком 1007 на кінець і початок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загальний підсумок надходжень готівки за місяць за символами 02 – 39, за винятком залишку каси, що відображений за символом 35, звіряється з підсумком оборотів за дебетом балансових рахунків 1001 – 1004;</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банками помилок, виявлених протягом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15. У разі виявлення Департаментом грошового обігу або банком помилки, допущеної за певних обставин у зв’язку з пропуском чи неправильним </w:t>
      </w:r>
      <w:r w:rsidRPr="001C7387">
        <w:rPr>
          <w:rFonts w:ascii="Times New Roman" w:eastAsia="Times New Roman" w:hAnsi="Times New Roman" w:cs="Times New Roman"/>
          <w:sz w:val="28"/>
          <w:szCs w:val="28"/>
          <w:lang w:eastAsia="uk-UA"/>
        </w:rPr>
        <w:lastRenderedPageBreak/>
        <w:t>відображенням інформації, зміни до показника уносяться за умови, що такі зміни є суттєвими або виявлені за символами 39, 37, 33.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16.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17. У показнику виправлення здійснюються обов’язково, якщо помилка впливає на викривлення емісійного результату, та за надходженнями готівки до каси банку (символи 02 – 32) у сумах, що перевищують 10,0 тис. грн. кожного конкретного символу кожної юридичної особи.</w:t>
      </w:r>
    </w:p>
    <w:p w:rsidR="00527A50"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з'ясування причин та обставин таких випадків.</w:t>
      </w:r>
    </w:p>
    <w:p w:rsidR="002419C5" w:rsidRDefault="002419C5" w:rsidP="004036FD">
      <w:pPr>
        <w:spacing w:after="0" w:line="240" w:lineRule="auto"/>
        <w:ind w:firstLine="709"/>
        <w:jc w:val="both"/>
        <w:rPr>
          <w:rFonts w:ascii="Times New Roman" w:eastAsia="Times New Roman" w:hAnsi="Times New Roman" w:cs="Times New Roman"/>
          <w:sz w:val="28"/>
          <w:szCs w:val="28"/>
          <w:lang w:eastAsia="uk-UA"/>
        </w:rPr>
      </w:pPr>
    </w:p>
    <w:p w:rsidR="005F0DAD" w:rsidRPr="003B44E6" w:rsidRDefault="005F0DAD" w:rsidP="005F0DAD">
      <w:pPr>
        <w:spacing w:after="0" w:line="240" w:lineRule="auto"/>
        <w:ind w:firstLine="709"/>
        <w:jc w:val="both"/>
        <w:rPr>
          <w:rFonts w:ascii="Times New Roman" w:eastAsia="Times New Roman" w:hAnsi="Times New Roman" w:cs="Times New Roman"/>
          <w:sz w:val="28"/>
          <w:szCs w:val="28"/>
          <w:u w:val="single"/>
          <w:lang w:eastAsia="uk-UA"/>
        </w:rPr>
      </w:pPr>
      <w:r w:rsidRPr="003B44E6">
        <w:rPr>
          <w:rFonts w:ascii="Times New Roman" w:eastAsia="Times New Roman" w:hAnsi="Times New Roman" w:cs="Times New Roman"/>
          <w:b/>
          <w:sz w:val="28"/>
          <w:szCs w:val="28"/>
          <w:u w:val="single"/>
          <w:lang w:eastAsia="uk-UA"/>
        </w:rPr>
        <w:t xml:space="preserve">ІІ. </w:t>
      </w:r>
      <w:r w:rsidRPr="003B44E6">
        <w:rPr>
          <w:rFonts w:ascii="Times New Roman" w:eastAsia="Times New Roman" w:hAnsi="Times New Roman" w:cs="Times New Roman"/>
          <w:b/>
          <w:sz w:val="28"/>
          <w:szCs w:val="28"/>
          <w:u w:val="single"/>
          <w:lang w:val="en-US" w:eastAsia="uk-UA"/>
        </w:rPr>
        <w:t>A</w:t>
      </w:r>
      <w:r w:rsidRPr="003B44E6">
        <w:rPr>
          <w:rFonts w:ascii="Times New Roman" w:eastAsia="Times New Roman" w:hAnsi="Times New Roman" w:cs="Times New Roman"/>
          <w:b/>
          <w:sz w:val="28"/>
          <w:szCs w:val="28"/>
          <w:u w:val="single"/>
          <w:lang w:eastAsia="uk-UA"/>
        </w:rPr>
        <w:t>1</w:t>
      </w:r>
      <w:r w:rsidR="001C7387" w:rsidRPr="001C7387">
        <w:rPr>
          <w:rFonts w:ascii="Times New Roman" w:eastAsia="Times New Roman" w:hAnsi="Times New Roman" w:cs="Times New Roman"/>
          <w:b/>
          <w:sz w:val="28"/>
          <w:szCs w:val="28"/>
          <w:u w:val="single"/>
          <w:lang w:val="ru-RU" w:eastAsia="uk-UA"/>
        </w:rPr>
        <w:t>3</w:t>
      </w:r>
      <w:r w:rsidRPr="003B44E6">
        <w:rPr>
          <w:rFonts w:ascii="Times New Roman" w:eastAsia="Times New Roman" w:hAnsi="Times New Roman" w:cs="Times New Roman"/>
          <w:b/>
          <w:sz w:val="28"/>
          <w:szCs w:val="28"/>
          <w:u w:val="single"/>
          <w:lang w:eastAsia="uk-UA"/>
        </w:rPr>
        <w:t>002 “Видача (переміщення) готівки”</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Параметр D010 - код касового символу (довідник D010).</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Показник складається за даними бухгалтерського обліку видачі готівки, які фіксуються в журналах обліку видач готівки із зазначенням касового символу.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клієнтами на звороті грошових </w:t>
      </w:r>
      <w:proofErr w:type="spellStart"/>
      <w:r w:rsidRPr="001C7387">
        <w:rPr>
          <w:rFonts w:ascii="Times New Roman" w:eastAsia="Times New Roman" w:hAnsi="Times New Roman" w:cs="Times New Roman"/>
          <w:sz w:val="28"/>
          <w:szCs w:val="28"/>
          <w:lang w:eastAsia="uk-UA"/>
        </w:rPr>
        <w:t>чеків</w:t>
      </w:r>
      <w:proofErr w:type="spellEnd"/>
      <w:r w:rsidRPr="001C7387">
        <w:rPr>
          <w:rFonts w:ascii="Times New Roman" w:eastAsia="Times New Roman" w:hAnsi="Times New Roman" w:cs="Times New Roman"/>
          <w:sz w:val="28"/>
          <w:szCs w:val="28"/>
          <w:lang w:eastAsia="uk-UA"/>
        </w:rPr>
        <w:t xml:space="preserve"> цільовим призначенням грошових сум, які одержують у банку, а також у кожному видатковому касовому документі. </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Загальний підсумок видатків за символами 40 – 73, за винятком символу 70, має збігатися з касовими оборотами за кредитом балансових рахунків 1001, 1002, 1003, 1004.</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5. Різниця між даними за символами 66 і 39 має дорівнювати різниці залишків готівки за рахунком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w:t>
      </w:r>
      <w:proofErr w:type="spellStart"/>
      <w:r w:rsidRPr="001C7387">
        <w:rPr>
          <w:rFonts w:ascii="Times New Roman" w:eastAsia="Times New Roman" w:hAnsi="Times New Roman" w:cs="Times New Roman"/>
          <w:sz w:val="28"/>
          <w:szCs w:val="28"/>
          <w:lang w:eastAsia="uk-UA"/>
        </w:rPr>
        <w:t>невідповідностей</w:t>
      </w:r>
      <w:proofErr w:type="spellEnd"/>
      <w:r w:rsidRPr="001C7387">
        <w:rPr>
          <w:rFonts w:ascii="Times New Roman" w:eastAsia="Times New Roman" w:hAnsi="Times New Roman" w:cs="Times New Roman"/>
          <w:sz w:val="28"/>
          <w:szCs w:val="28"/>
          <w:lang w:eastAsia="uk-UA"/>
        </w:rPr>
        <w:t xml:space="preserve"> за символами 66 і 39 та невиконання умов логічного контролю, банк – юридична особа в день подання показника має надавати повідомлення за місяць через засоби програмного комплексу АРМ </w:t>
      </w:r>
      <w:r w:rsidR="0083618D" w:rsidRPr="0083618D">
        <w:rPr>
          <w:rFonts w:ascii="Times New Roman" w:eastAsia="Times New Roman" w:hAnsi="Times New Roman" w:cs="Times New Roman"/>
          <w:sz w:val="28"/>
          <w:szCs w:val="28"/>
          <w:lang w:val="ru-RU" w:eastAsia="uk-UA"/>
        </w:rPr>
        <w:t>“</w:t>
      </w:r>
      <w:r w:rsidRPr="001C7387">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83618D">
        <w:rPr>
          <w:rFonts w:ascii="Times New Roman" w:eastAsia="Times New Roman" w:hAnsi="Times New Roman" w:cs="Times New Roman"/>
          <w:sz w:val="28"/>
          <w:szCs w:val="28"/>
          <w:lang w:val="ru-RU" w:eastAsia="uk-UA"/>
        </w:rPr>
        <w:t>”</w:t>
      </w:r>
      <w:r w:rsidRPr="001C7387">
        <w:rPr>
          <w:rFonts w:ascii="Times New Roman" w:eastAsia="Times New Roman" w:hAnsi="Times New Roman" w:cs="Times New Roman"/>
          <w:sz w:val="28"/>
          <w:szCs w:val="28"/>
          <w:lang w:eastAsia="uk-UA"/>
        </w:rPr>
        <w:t xml:space="preserve"> або як виняток засобами електронного зв'язку за погодженням із Департаментом грошового обігу.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lastRenderedPageBreak/>
        <w:t xml:space="preserve">- дані про інші чинники, що впливають на невідповідність між даними показників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13Х і даними балансу у розрізі регіонів.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6. Банк, який під час здійснення операцій з передавання готівки використовує рахунок 1811, на якому на кінець звітного періоду обліковується сума переданої готівки, разом з показниками надсилає інформацію в регіональному розрізі щодо складових залишку готівки за цим рахунком за місцем проведення операцій до Департаменту грошового обігу через засоби програмного комплексу АРМ </w:t>
      </w:r>
      <w:r w:rsidR="0083618D" w:rsidRPr="0083618D">
        <w:rPr>
          <w:rFonts w:ascii="Times New Roman" w:eastAsia="Times New Roman" w:hAnsi="Times New Roman" w:cs="Times New Roman"/>
          <w:sz w:val="28"/>
          <w:szCs w:val="28"/>
          <w:lang w:val="ru-RU" w:eastAsia="uk-UA"/>
        </w:rPr>
        <w:t>“</w:t>
      </w:r>
      <w:r w:rsidRPr="001C7387">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83618D">
        <w:rPr>
          <w:rFonts w:ascii="Times New Roman" w:eastAsia="Times New Roman" w:hAnsi="Times New Roman" w:cs="Times New Roman"/>
          <w:sz w:val="28"/>
          <w:szCs w:val="28"/>
          <w:lang w:val="ru-RU" w:eastAsia="uk-UA"/>
        </w:rPr>
        <w:t>”</w:t>
      </w:r>
      <w:r w:rsidRPr="001C7387">
        <w:rPr>
          <w:rFonts w:ascii="Times New Roman" w:eastAsia="Times New Roman" w:hAnsi="Times New Roman" w:cs="Times New Roman"/>
          <w:sz w:val="28"/>
          <w:szCs w:val="28"/>
          <w:lang w:eastAsia="uk-UA"/>
        </w:rPr>
        <w:t xml:space="preserve"> або як виняток засобами електронного зв'язку за погодженням із Департаментом грошового обігу.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7. Банк перевіряє відповідність між даними за символом 72 і даними повідомлень про суми передавання готівки, що надаються через засоби програмного комплексу АРМ </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67 та даними операцій, щодо збільшення запасів готівки НБУ в програмному комплексі САГО ПТЗ </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Уповноважені банки</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9. Баланс із надходження готівки до каси банку (символи 02 – 39) має збігатися з балансом з видачі готівки з кас банків (символи 40 – 73).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10. Загальні дані в цілому по банку – юридичній особі за символами зі списання коштів із вкладних рахунків фізичних осіб 55 (у частині операцій, відображених за відповідними рахунками 262, 263 у балансі банку, що складає показники), 94, 95 порівнюються з оборотами за дебетом відповідних рахунків груп 262, 263 балансу банку (за винятком рахунків для обліку коштів за операціями з платіжними картками).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14. Показники перевіряються Департаментом грошового обігу за банками - юридичними особами в розрізі регіонів з урахуванням такого:</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 місячні дані за символами 66, 71, 72 звіряються з даними програмного комплексу АРМ </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 xml:space="preserve">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 - юридичною особою та його відокремленими підрозділами (відділення/АТМ);</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lastRenderedPageBreak/>
        <w:t>- різниця між даними за символами 66 і 39, 37 і 72, 36 і 71 звіряється з різницею залишків готівки за рахунком 1007 на кінець і початок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загальний підсумок видачі готівки за місяць за символами 40 – 73, за винятком залишку каси, що відображений за символом 70, звіряється з підсумком оборотів за кредитом балансових рахунків 1001 – 1004;</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банками помилок, виявлених протягом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15. У разі виявлення Департаментом грошового обігу або банком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 або виявлені за символами 66, 72, 67.</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16.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17. У показнику виправлення здійснюються обов’язково, якщо помилка впливає на викривлення емісійного результату, та за видачою готівки з каси банку (символи 40 – 61) у сумах, що перевищують 10,0 тис. грн. кожного конкретного символу кожної юридичної особи.</w:t>
      </w:r>
    </w:p>
    <w:p w:rsidR="005F0DA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з'ясування причин та обставин таких випадків.</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 xml:space="preserve">ІІІ. </w:t>
      </w:r>
      <w:r w:rsidRPr="008525AD">
        <w:rPr>
          <w:rFonts w:ascii="Times New Roman" w:eastAsia="Times New Roman" w:hAnsi="Times New Roman" w:cs="Times New Roman"/>
          <w:b/>
          <w:sz w:val="28"/>
          <w:szCs w:val="28"/>
          <w:u w:val="single"/>
          <w:lang w:val="en-US" w:eastAsia="uk-UA"/>
        </w:rPr>
        <w:t>A</w:t>
      </w:r>
      <w:r w:rsidR="001C7387">
        <w:rPr>
          <w:rFonts w:ascii="Times New Roman" w:eastAsia="Times New Roman" w:hAnsi="Times New Roman" w:cs="Times New Roman"/>
          <w:b/>
          <w:sz w:val="28"/>
          <w:szCs w:val="28"/>
          <w:u w:val="single"/>
          <w:lang w:eastAsia="uk-UA"/>
        </w:rPr>
        <w:t>13</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 “</w:t>
      </w:r>
      <w:r w:rsidRPr="005F0DAD">
        <w:rPr>
          <w:rFonts w:ascii="Times New Roman" w:eastAsia="Times New Roman" w:hAnsi="Times New Roman" w:cs="Times New Roman"/>
          <w:b/>
          <w:sz w:val="28"/>
          <w:szCs w:val="28"/>
          <w:u w:val="single"/>
          <w:lang w:eastAsia="uk-UA"/>
        </w:rPr>
        <w:t>Залишок операційної каси на початок звітного періоду</w:t>
      </w:r>
      <w:r>
        <w:rPr>
          <w:rFonts w:ascii="Times New Roman" w:eastAsia="Times New Roman" w:hAnsi="Times New Roman" w:cs="Times New Roman"/>
          <w:b/>
          <w:sz w:val="28"/>
          <w:szCs w:val="28"/>
          <w:u w:val="single"/>
          <w:lang w:eastAsia="uk-UA"/>
        </w:rPr>
        <w:t>”</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початок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Залишок готівки в касах (символ 35) мають збігатися з її сумарними залишками на балансових рахунках 1001, 1002, 1003, 1004.</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За символом 35 відображається залишок готівки в касі на початок звітного періоду (на перше число звітного місяця). Дані за символом 35 звітного періоду мають відповідати даним за символом 70 попереднього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lastRenderedPageBreak/>
        <w:t>- залишок готівки в операційній касі установ банків на початок звітного періоду (символ 35) звіряється із залишком готівки в операційній касі на кінець звітного періоду (символ 70) попереднього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Default="001C7387" w:rsidP="004036FD">
      <w:pPr>
        <w:spacing w:after="0" w:line="240" w:lineRule="auto"/>
        <w:ind w:firstLine="709"/>
        <w:jc w:val="both"/>
        <w:rPr>
          <w:rFonts w:ascii="Times New Roman" w:eastAsia="Times New Roman" w:hAnsi="Times New Roman" w:cs="Times New Roman"/>
          <w:sz w:val="28"/>
          <w:szCs w:val="28"/>
          <w:lang w:eastAsia="uk-UA"/>
        </w:rPr>
      </w:pP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І</w:t>
      </w:r>
      <w:r>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001C7387" w:rsidRPr="001C7387">
        <w:rPr>
          <w:rFonts w:ascii="Times New Roman" w:eastAsia="Times New Roman" w:hAnsi="Times New Roman" w:cs="Times New Roman"/>
          <w:b/>
          <w:sz w:val="28"/>
          <w:szCs w:val="28"/>
          <w:u w:val="single"/>
          <w:lang w:val="ru-RU" w:eastAsia="uk-UA"/>
        </w:rPr>
        <w:t>3</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 “</w:t>
      </w:r>
      <w:r w:rsidRPr="005F0DAD">
        <w:rPr>
          <w:rFonts w:ascii="Times New Roman" w:eastAsia="Times New Roman" w:hAnsi="Times New Roman" w:cs="Times New Roman"/>
          <w:b/>
          <w:sz w:val="28"/>
          <w:szCs w:val="28"/>
          <w:u w:val="single"/>
          <w:lang w:eastAsia="uk-UA"/>
        </w:rPr>
        <w:t>Залишок операційної каси на кінець звітного періоду</w:t>
      </w:r>
      <w:r>
        <w:rPr>
          <w:rFonts w:ascii="Times New Roman" w:eastAsia="Times New Roman" w:hAnsi="Times New Roman" w:cs="Times New Roman"/>
          <w:b/>
          <w:sz w:val="28"/>
          <w:szCs w:val="28"/>
          <w:u w:val="single"/>
          <w:lang w:eastAsia="uk-UA"/>
        </w:rPr>
        <w:t>”</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кінець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Залишок готівки в касах (символ 70) має збігатися з її сумарними залишками на балансових рахунках 1001, 1002, 1003, 1004.</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За символом 70 відображається залишок готівки в касі на кінець звітного періоду (на перше число наступного за звітним місяцем).</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залишок готівки в операційній касі установ банків на кінець звітного періоду (символ 70) має відповідати її залишкам на рахунках 1001 – 1004.</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21F95">
        <w:rPr>
          <w:rFonts w:ascii="Times New Roman" w:eastAsia="Times New Roman" w:hAnsi="Times New Roman" w:cs="Times New Roman"/>
          <w:b/>
          <w:sz w:val="28"/>
          <w:szCs w:val="28"/>
          <w:u w:val="single"/>
          <w:lang w:eastAsia="uk-UA"/>
        </w:rPr>
        <w:t>00</w:t>
      </w:r>
      <w:r w:rsidRPr="001C7387">
        <w:rPr>
          <w:rFonts w:ascii="Times New Roman" w:eastAsia="Times New Roman" w:hAnsi="Times New Roman" w:cs="Times New Roman"/>
          <w:b/>
          <w:sz w:val="28"/>
          <w:szCs w:val="28"/>
          <w:u w:val="single"/>
          <w:lang w:val="ru-RU" w:eastAsia="uk-UA"/>
        </w:rPr>
        <w:t>5</w:t>
      </w:r>
      <w:r>
        <w:rPr>
          <w:rFonts w:ascii="Times New Roman" w:eastAsia="Times New Roman" w:hAnsi="Times New Roman" w:cs="Times New Roman"/>
          <w:b/>
          <w:sz w:val="28"/>
          <w:szCs w:val="28"/>
          <w:u w:val="single"/>
          <w:lang w:eastAsia="uk-UA"/>
        </w:rPr>
        <w:t xml:space="preserve"> “</w:t>
      </w:r>
      <w:r w:rsidRPr="001C7387">
        <w:rPr>
          <w:rFonts w:ascii="Times New Roman" w:eastAsia="Times New Roman" w:hAnsi="Times New Roman" w:cs="Times New Roman"/>
          <w:b/>
          <w:sz w:val="28"/>
          <w:szCs w:val="28"/>
          <w:u w:val="single"/>
          <w:lang w:eastAsia="uk-UA"/>
        </w:rPr>
        <w:t>Безготівкові зарахування на рахунки за вкладами фізичних осіб</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Безготівкові зарахування грошових коштів на рахунки за вкладами фізичних осіб у банках.</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 символами поза балансом 84, 86, 87, 88 відображаються дані, які потрібні для аналізу готівкового обігу.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Загальні дані в цілому по банку – юридичній особі за символами із зарахування коштів на вкладні рахунки фізичних осіб 16 і 29 (у частині операцій, відображених за відповідними рахунками груп 262, 263 у балансі банку, що складає показники), 84, 86, 87, 88 порівнюються з оборотами за кредитом відповідних рахунків груп 262, 263 балансу.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lastRenderedPageBreak/>
        <w:t>4. Усі дані за символами записуються в розгорнутому вигляді так само, як вони обліковані за даними бухгалтерських записів.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7. У разі виявлення Департаментом грошового обігу або банком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8.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9. У показнику виправлення здійснюються обов’язково, якщо помилка за позабалансовими символами (символи 84, 86, 87, 88) у сумах, що перевищують 10,0 тис. грн. кожного конкретного символу кожної юридичної особи.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10. У разі виявлення невідповідності даних показника даним балансу, а також суттєвих змін у динаміці даних за позабалансовими символами Департамент грошового обігу може надавати письмові запити щодо з'ясування причин та обставин таких випадків.</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val="en-US" w:eastAsia="uk-UA"/>
        </w:rPr>
        <w:t>VI</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83618D">
        <w:rPr>
          <w:rFonts w:ascii="Times New Roman" w:eastAsia="Times New Roman" w:hAnsi="Times New Roman" w:cs="Times New Roman"/>
          <w:b/>
          <w:sz w:val="28"/>
          <w:szCs w:val="28"/>
          <w:u w:val="single"/>
          <w:lang w:eastAsia="uk-UA"/>
        </w:rPr>
        <w:t>3</w:t>
      </w:r>
      <w:r w:rsidRPr="00321F95">
        <w:rPr>
          <w:rFonts w:ascii="Times New Roman" w:eastAsia="Times New Roman" w:hAnsi="Times New Roman" w:cs="Times New Roman"/>
          <w:b/>
          <w:sz w:val="28"/>
          <w:szCs w:val="28"/>
          <w:u w:val="single"/>
          <w:lang w:eastAsia="uk-UA"/>
        </w:rPr>
        <w:t>00</w:t>
      </w:r>
      <w:r w:rsidRPr="0083618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eastAsia="uk-UA"/>
        </w:rPr>
        <w:t xml:space="preserve"> “</w:t>
      </w:r>
      <w:r w:rsidRPr="001C7387">
        <w:rPr>
          <w:rFonts w:ascii="Times New Roman" w:eastAsia="Times New Roman" w:hAnsi="Times New Roman" w:cs="Times New Roman"/>
          <w:b/>
          <w:sz w:val="28"/>
          <w:szCs w:val="28"/>
          <w:u w:val="single"/>
          <w:lang w:eastAsia="uk-UA"/>
        </w:rPr>
        <w:t>Безготівкові розрахунки</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Безготівкові розрахунки: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з використанням платіжних карток;</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фізичних осіб за цінні папери;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фізичних осіб за товари, послуги та інші перерахування.</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 символами поза балансом 93, 94, 95 відображаються дані, які потрібні для аналізу готівкового обігу.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Загальні дані в цілому по банку – юридичній особі за символами зі списання коштів із вкладних рахунків фізичних осіб 55 (у частині операцій, відображених за відповідними рахунками 262, 263 у балансі банку, що складає показники), 94, 95 порівнюються з оборотами за дебетом відповідних рахунків груп 262, 263 балансу банку (за винятком рахунків для обліку коштів за операціями з платіжними картками).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Усі дані за символами записуються в розгорнутому вигляді так само, як вони обліковані за даними бухгалтерських записів.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lastRenderedPageBreak/>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7. У разі виявлення Департаментом грошового обігу або банком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8.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9. У показнику виправлення здійснюються обов’язково, якщо помилка за позабалансовими символами (символи 93, 94, 95) у сумах, що перевищують 10,0 тис. грн. кожного конкретного символу кожної юридичної особи.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10. У разі виявлення невідповідності даних показника даним балансу, а також суттєвих змін у динаміці даних за позабалансовими символами Департамент грошового обігу може надавати письмові запити щодо з'ясування причин та обставин таких випадків.</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val="en-US" w:eastAsia="uk-UA"/>
        </w:rPr>
        <w:t>VII</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21F95">
        <w:rPr>
          <w:rFonts w:ascii="Times New Roman" w:eastAsia="Times New Roman" w:hAnsi="Times New Roman" w:cs="Times New Roman"/>
          <w:b/>
          <w:sz w:val="28"/>
          <w:szCs w:val="28"/>
          <w:u w:val="single"/>
          <w:lang w:eastAsia="uk-UA"/>
        </w:rPr>
        <w:t>00</w:t>
      </w:r>
      <w:r w:rsidRPr="001C7387">
        <w:rPr>
          <w:rFonts w:ascii="Times New Roman" w:eastAsia="Times New Roman" w:hAnsi="Times New Roman" w:cs="Times New Roman"/>
          <w:b/>
          <w:sz w:val="28"/>
          <w:szCs w:val="28"/>
          <w:u w:val="single"/>
          <w:lang w:val="ru-RU" w:eastAsia="uk-UA"/>
        </w:rPr>
        <w:t>7</w:t>
      </w:r>
      <w:r>
        <w:rPr>
          <w:rFonts w:ascii="Times New Roman" w:eastAsia="Times New Roman" w:hAnsi="Times New Roman" w:cs="Times New Roman"/>
          <w:b/>
          <w:sz w:val="28"/>
          <w:szCs w:val="28"/>
          <w:u w:val="single"/>
          <w:lang w:eastAsia="uk-UA"/>
        </w:rPr>
        <w:t xml:space="preserve"> “</w:t>
      </w:r>
      <w:r w:rsidRPr="001C7387">
        <w:rPr>
          <w:rFonts w:ascii="Times New Roman" w:eastAsia="Times New Roman" w:hAnsi="Times New Roman" w:cs="Times New Roman"/>
          <w:b/>
          <w:sz w:val="28"/>
          <w:szCs w:val="28"/>
          <w:u w:val="single"/>
          <w:lang w:eastAsia="uk-UA"/>
        </w:rPr>
        <w:t>Загальна сума надходжень готівки від небанківських фінансових установ та комерційних агентів банків</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За показником відображається загальна сума всіх надходжень від небанківських фінансових установ та комерційних агентів банків готівки (незалежно від способу доставки), що прийнята ними для подальшого переказу.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2. Дані щодо </w:t>
      </w:r>
      <w:proofErr w:type="spellStart"/>
      <w:r w:rsidRPr="001C7387">
        <w:rPr>
          <w:rFonts w:ascii="Times New Roman" w:eastAsia="Times New Roman" w:hAnsi="Times New Roman" w:cs="Times New Roman"/>
          <w:sz w:val="28"/>
          <w:szCs w:val="28"/>
          <w:lang w:eastAsia="uk-UA"/>
        </w:rPr>
        <w:t>забалансового</w:t>
      </w:r>
      <w:proofErr w:type="spellEnd"/>
      <w:r w:rsidRPr="001C7387">
        <w:rPr>
          <w:rFonts w:ascii="Times New Roman" w:eastAsia="Times New Roman" w:hAnsi="Times New Roman" w:cs="Times New Roman"/>
          <w:sz w:val="28"/>
          <w:szCs w:val="28"/>
          <w:lang w:eastAsia="uk-UA"/>
        </w:rPr>
        <w:t xml:space="preserve"> символу 97 несуть інформаційне значення щодо всіх надходжень готівки до кас банків від небанківських фінансових установ, які відповідно до законодавства України мають ліцензію Національного банку України на переказ коштів без відкриття рахунків і є платіжними організаціями та/або учасниками платіжних систем, та комерційних агентів банку.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Банки – юридичні особи повинні забезпечити контроль за достовірністю показника.</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У разі виявлення Департаментом грошового обігу або банком помилки, допущеної за певних обставин у зв’язку з пропуском чи неправильним відображенням інформації, зміни до показника уносяться за умови, що такі зміни є суттєвими.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5.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6. У разі виявлення суттєвих змін у динаміці даних за позабалансовим символом Департамент грошового обігу може надавати письмові запити щодо з'ясування причин та обставин таких випадків.</w:t>
      </w:r>
    </w:p>
    <w:p w:rsidR="003B44E6" w:rsidRDefault="003B44E6">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br w:type="page"/>
      </w:r>
    </w:p>
    <w:p w:rsidR="00537385" w:rsidRDefault="006F15D9" w:rsidP="003B44E6">
      <w:pPr>
        <w:spacing w:after="0" w:line="240" w:lineRule="auto"/>
        <w:jc w:val="center"/>
        <w:rPr>
          <w:rFonts w:ascii="Times New Roman" w:eastAsia="Times New Roman" w:hAnsi="Times New Roman" w:cs="Times New Roman"/>
          <w:b/>
          <w:sz w:val="28"/>
          <w:szCs w:val="28"/>
          <w:u w:val="single"/>
          <w:lang w:eastAsia="uk-UA"/>
        </w:rPr>
      </w:pPr>
      <w:r w:rsidRPr="005415A7">
        <w:rPr>
          <w:rFonts w:ascii="Times New Roman" w:eastAsia="Times New Roman" w:hAnsi="Times New Roman" w:cs="Times New Roman"/>
          <w:b/>
          <w:sz w:val="28"/>
          <w:szCs w:val="28"/>
          <w:u w:val="single"/>
          <w:lang w:eastAsia="uk-UA"/>
        </w:rPr>
        <w:lastRenderedPageBreak/>
        <w:t xml:space="preserve">Особливості формування </w:t>
      </w:r>
      <w:r w:rsidR="005F0DAD" w:rsidRPr="005415A7">
        <w:rPr>
          <w:rFonts w:ascii="Times New Roman" w:eastAsia="Times New Roman" w:hAnsi="Times New Roman" w:cs="Times New Roman"/>
          <w:b/>
          <w:sz w:val="28"/>
          <w:szCs w:val="28"/>
          <w:u w:val="single"/>
          <w:lang w:eastAsia="uk-UA"/>
        </w:rPr>
        <w:t>показників</w:t>
      </w:r>
      <w:r w:rsidR="00E64AD0" w:rsidRPr="005415A7">
        <w:rPr>
          <w:rFonts w:ascii="Times New Roman" w:eastAsia="Times New Roman" w:hAnsi="Times New Roman" w:cs="Times New Roman"/>
          <w:b/>
          <w:sz w:val="28"/>
          <w:szCs w:val="28"/>
          <w:u w:val="single"/>
          <w:lang w:eastAsia="uk-UA"/>
        </w:rPr>
        <w:t xml:space="preserve"> </w:t>
      </w:r>
      <w:proofErr w:type="spellStart"/>
      <w:r w:rsidR="00E64AD0" w:rsidRPr="005415A7">
        <w:rPr>
          <w:rFonts w:ascii="Times New Roman" w:eastAsia="Times New Roman" w:hAnsi="Times New Roman" w:cs="Times New Roman"/>
          <w:b/>
          <w:sz w:val="28"/>
          <w:szCs w:val="28"/>
          <w:u w:val="single"/>
          <w:lang w:eastAsia="uk-UA"/>
        </w:rPr>
        <w:t>файла</w:t>
      </w:r>
      <w:proofErr w:type="spellEnd"/>
      <w:r w:rsidR="00E64AD0" w:rsidRPr="005415A7">
        <w:rPr>
          <w:rFonts w:ascii="Times New Roman" w:eastAsia="Times New Roman" w:hAnsi="Times New Roman" w:cs="Times New Roman"/>
          <w:b/>
          <w:sz w:val="28"/>
          <w:szCs w:val="28"/>
          <w:u w:val="single"/>
          <w:lang w:eastAsia="uk-UA"/>
        </w:rPr>
        <w:t xml:space="preserve"> 13Х “Дані про касові обороти</w:t>
      </w:r>
      <w:r w:rsidR="003C547C" w:rsidRPr="005415A7">
        <w:rPr>
          <w:rFonts w:ascii="Times New Roman" w:eastAsia="Times New Roman" w:hAnsi="Times New Roman" w:cs="Times New Roman"/>
          <w:b/>
          <w:sz w:val="28"/>
          <w:szCs w:val="28"/>
          <w:u w:val="single"/>
          <w:lang w:eastAsia="uk-UA"/>
        </w:rPr>
        <w:t xml:space="preserve"> та залишки готівки в касах банку</w:t>
      </w:r>
      <w:r w:rsidR="00E64AD0" w:rsidRPr="005415A7">
        <w:rPr>
          <w:rFonts w:ascii="Times New Roman" w:eastAsia="Times New Roman" w:hAnsi="Times New Roman" w:cs="Times New Roman"/>
          <w:b/>
          <w:sz w:val="28"/>
          <w:szCs w:val="28"/>
          <w:u w:val="single"/>
          <w:lang w:eastAsia="uk-UA"/>
        </w:rPr>
        <w:t>”</w:t>
      </w:r>
    </w:p>
    <w:p w:rsidR="005B3633" w:rsidRDefault="005B3633" w:rsidP="00203DD1">
      <w:pPr>
        <w:spacing w:after="0" w:line="240" w:lineRule="auto"/>
        <w:ind w:firstLine="709"/>
        <w:jc w:val="center"/>
        <w:rPr>
          <w:rFonts w:ascii="Times New Roman" w:eastAsia="Times New Roman" w:hAnsi="Times New Roman" w:cs="Times New Roman"/>
          <w:b/>
          <w:sz w:val="28"/>
          <w:szCs w:val="28"/>
          <w:u w:val="single"/>
          <w:lang w:eastAsia="uk-UA"/>
        </w:rPr>
      </w:pPr>
    </w:p>
    <w:p w:rsidR="001C7387" w:rsidRPr="003B44E6" w:rsidRDefault="001C7387" w:rsidP="001C7387">
      <w:pPr>
        <w:spacing w:after="120" w:line="240" w:lineRule="auto"/>
        <w:ind w:firstLine="709"/>
        <w:rPr>
          <w:rFonts w:ascii="Times New Roman" w:eastAsia="Times New Roman" w:hAnsi="Times New Roman" w:cs="Times New Roman"/>
          <w:b/>
          <w:sz w:val="28"/>
          <w:szCs w:val="28"/>
          <w:u w:val="single"/>
          <w:lang w:eastAsia="uk-UA"/>
        </w:rPr>
      </w:pPr>
      <w:r w:rsidRPr="003B44E6">
        <w:rPr>
          <w:rFonts w:ascii="Times New Roman" w:eastAsia="Times New Roman" w:hAnsi="Times New Roman" w:cs="Times New Roman"/>
          <w:b/>
          <w:sz w:val="28"/>
          <w:szCs w:val="28"/>
          <w:u w:val="single"/>
          <w:lang w:eastAsia="uk-UA"/>
        </w:rPr>
        <w:t xml:space="preserve">І. </w:t>
      </w:r>
      <w:r w:rsidRPr="003B44E6">
        <w:rPr>
          <w:rFonts w:ascii="Times New Roman" w:eastAsia="Times New Roman" w:hAnsi="Times New Roman" w:cs="Times New Roman"/>
          <w:b/>
          <w:sz w:val="28"/>
          <w:szCs w:val="28"/>
          <w:u w:val="single"/>
          <w:lang w:val="en-US" w:eastAsia="uk-UA"/>
        </w:rPr>
        <w:t>A</w:t>
      </w:r>
      <w:r w:rsidRPr="003B44E6">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B44E6">
        <w:rPr>
          <w:rFonts w:ascii="Times New Roman" w:eastAsia="Times New Roman" w:hAnsi="Times New Roman" w:cs="Times New Roman"/>
          <w:b/>
          <w:sz w:val="28"/>
          <w:szCs w:val="28"/>
          <w:u w:val="single"/>
          <w:lang w:eastAsia="uk-UA"/>
        </w:rPr>
        <w:t>001 “Надходження (переміщення) готівки”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За параметром D010 (=02) (символ) зазначаються - надходження готівкової виручки від продажу товарів через торговельну мережу і мережу підприємств ресторанного господарства (уключаючи споживчу кооперацію) та від продажу товарів неторговельними підприємствами та підприємцями відповідно до КВЕД-2010, а також надходження від продажу неліквідів, обладнання, інвентарю.</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 параметром D010 (=05) (символ) зазначаються - надходження готівкової виручки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виручки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а саме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Надходження готівки від надання послуг банками та їх підрозділами (за винятком плати за користування кредитом відповідно до символу 14) для оплати фізичними особами та підприємствами (підприємцями) за користування банківськими послугами. Надходження виручки від надання послуг підприємствами, установами та організаціями, для яких надання послуг не є основним видом діяльності.</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3. За параметром D010 (=12) (символ) зазначаються - надходження готівки за всіма видами податків, зборів (обов’язкових платежів) та інших бюджетних надходжень, що зараховуються на рахунки бюджетів усіх рівнів відповідно до Плану рахунків бухгалтерського обліку виконання державного та місцевих бюджетів, затвердженого наказом Державного казначейства України від 28 листопада 2000 року № 119 (зі змінами) (відповідні балансові рахунки з класу 3 </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Кошти бюджетів та розпорядників коштів</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 xml:space="preserve"> розділів 31, 33, 34, 37 на які здійснюються відповідні зарахування, а саме: 3111, 3121, 3131, 3141, 3151, 3161, 3311, 3321, 3411, 3412, 3421, 3422, 3719). Надходження на рахунки юридичних осіб для сплати податків, зборів (обов’язкових платежів) з подальшим зарахуванням на рахунки бюджетів усіх рівнів, а також відшкодування раніше сплачених податків, зборів (обов’язкових платежів) та інших платежів до бюджетів усіх рівнів.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4. За параметром D010 (=14) (символ) зазначаються - надходження готівки від фізичних осіб та суб’єктів господарювання для погашення кредитів та процентів за користування кредитом, вартості усіх супутніх послуг, а також інших фінансових зобов’язань за ними на користь банків, ліквідаторів банків та </w:t>
      </w:r>
      <w:r w:rsidRPr="001C7387">
        <w:rPr>
          <w:rFonts w:ascii="Times New Roman" w:eastAsia="Times New Roman" w:hAnsi="Times New Roman" w:cs="Times New Roman"/>
          <w:sz w:val="28"/>
          <w:szCs w:val="28"/>
          <w:lang w:eastAsia="uk-UA"/>
        </w:rPr>
        <w:lastRenderedPageBreak/>
        <w:t>небанківських фінансових установ (за винятком надходжень на користь третіх осіб), у тому числі надходження зазначених платежів від платників без відкриття рахунку з подальшим переказом на користь іншої банківської установи.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5. За параметром D010 (=16) (символ) зазначаються - надходження готівки до кас банків на вкладні (депозитні) та поточні рахунки фізичних осіб, у тому числі приватних нотаріусів та адвокатів [балансові рахунки 2620 (за винятком рахунків для обліку коштів за операціями з платіжними картками), 2622, 2630]. Надходження готівки до кас установ банків (у тому числі за договорами купівлі-продажу) для подальшого зарахування через транзитні рахунки на вкладні (депозитні) та поточні рахунки фізичних осіб, які відкриті у власній або іншій банківській установі.</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6. За параметром D010 (=17) (символ) зазначаються - надходження готівки від підприємств поштового зв’язку незалежно від того, з яких джерел надійшли готівкові кошти до кас підприємств.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7. За параметром D010 (=29) (символ) зазначаються - надходження готівки за платіжними картками (особистими та корпоративними) через платіжні пристрої та каси банків для зарахування на поточні рахунки, що відкриті клієнтам для обліку коштів за операціями з платіжними картками (у тому числі за платіжною карткою банку-емітента, що використовується для власних потреб). Облік ведеться банками та їх підрозділами, які здійснюють приймання готівки. Надходження готівки до кас установ банків (у тому числі за договорами купівлі-продажу) для подальшого зарахування через транзитні рахунки на поточні рахунки фізичних осіб (що відкриті клієнтам для обліку коштів за операціями з платіжними картками), які відкриті у власній або іншій банківській установі.</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8. За параметром D010 (=30) (символ) зазначаються - надходження готівки за продану іноземну валюту.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9. За параметром D010 (=31) (символ) зазначаються - надходження готівки від продажу акцій, ощадних (депозитних) сертифікатів, облігацій та інших цінних паперів, передбачених законодавством України.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10. За параметром D010 (=32) (символ) зазначаються - усі готівкові надходження, які не враховані за іншими статтями надходжень.</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11. За параметром D010 (=33) (символ) зазначаються - надходження готівки до операційної каси уповноваженого банку із сховищ уповноваженого банку, яка є власністю Національного банку України [із запасів готівки Центрального сховища або інших відділів (управління) грошового обігу в регіонах].</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12. За параметром D010 (=37) (символ) зазначаються - надходження готівки (у тому числі пам’ятних монет за номінальною вартістю) в операційну касу банків, їх підрозділів та до платіжних пристроїв від установ Національного банку, з кас інших банків та їх підрозділів, розташованих як у цьому регіоні, так і за його межами, та з платіжних пристроїв (купівля готівки).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13. За параметром D010 (=39) (символ) зазначаються - надходження готівки з оборотної каси до платіжних пристроїв і з платіжних пристроїв до оборотної каси (балансові рахунки 1001, 1004) та передавання пам’ятних монет під реалізацію (балансовий рахунок 1009), надходження готівки від касирів операційної каси та отримання під звіт готівки касирами операційної каси в разі </w:t>
      </w:r>
      <w:r w:rsidRPr="001C7387">
        <w:rPr>
          <w:rFonts w:ascii="Times New Roman" w:eastAsia="Times New Roman" w:hAnsi="Times New Roman" w:cs="Times New Roman"/>
          <w:sz w:val="28"/>
          <w:szCs w:val="28"/>
          <w:lang w:eastAsia="uk-UA"/>
        </w:rPr>
        <w:lastRenderedPageBreak/>
        <w:t>ведення обліку за окремими аналітичними рахунками, а також надходження готівки в операційну касу банку від його відділень, обмінних пунктів, платіжних пристроїв та до кас його відділень, обмінних пунктів, платіжних пристроїв з операційної каси.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3B44E6" w:rsidRDefault="001C7387" w:rsidP="001C7387">
      <w:pPr>
        <w:spacing w:after="0" w:line="240" w:lineRule="auto"/>
        <w:ind w:firstLine="709"/>
        <w:jc w:val="both"/>
        <w:rPr>
          <w:rFonts w:ascii="Times New Roman" w:eastAsia="Times New Roman" w:hAnsi="Times New Roman" w:cs="Times New Roman"/>
          <w:sz w:val="28"/>
          <w:szCs w:val="28"/>
          <w:u w:val="single"/>
          <w:lang w:eastAsia="uk-UA"/>
        </w:rPr>
      </w:pPr>
      <w:r w:rsidRPr="003B44E6">
        <w:rPr>
          <w:rFonts w:ascii="Times New Roman" w:eastAsia="Times New Roman" w:hAnsi="Times New Roman" w:cs="Times New Roman"/>
          <w:b/>
          <w:sz w:val="28"/>
          <w:szCs w:val="28"/>
          <w:u w:val="single"/>
          <w:lang w:eastAsia="uk-UA"/>
        </w:rPr>
        <w:t xml:space="preserve">ІІ. </w:t>
      </w:r>
      <w:r w:rsidRPr="003B44E6">
        <w:rPr>
          <w:rFonts w:ascii="Times New Roman" w:eastAsia="Times New Roman" w:hAnsi="Times New Roman" w:cs="Times New Roman"/>
          <w:b/>
          <w:sz w:val="28"/>
          <w:szCs w:val="28"/>
          <w:u w:val="single"/>
          <w:lang w:val="en-US" w:eastAsia="uk-UA"/>
        </w:rPr>
        <w:t>A</w:t>
      </w:r>
      <w:r w:rsidRPr="003B44E6">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B44E6">
        <w:rPr>
          <w:rFonts w:ascii="Times New Roman" w:eastAsia="Times New Roman" w:hAnsi="Times New Roman" w:cs="Times New Roman"/>
          <w:b/>
          <w:sz w:val="28"/>
          <w:szCs w:val="28"/>
          <w:u w:val="single"/>
          <w:lang w:eastAsia="uk-UA"/>
        </w:rPr>
        <w:t>002 “Видача (переміщення) готівки”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1. За параметром D010 (=40) (символ) зазначається - видача готівки на виплату основної і додаткової заробітної плати, заохочувальних та компенсаційних виплат, зазначених у розділі 2 Інструкції № 5. Видача готівки військовим частинам і установам Міністерства оборони України, Міністерства внутрішніх справ України, Служби безпеки України, розвідувальним органам України, окремим підприємствам та організаціям, які за умовами своєї діяльності не розшифровують цільового призначення одержаних сум. Видача готівки на виплату допомоги, компенсацій, надбавок та інші виплати відповідно до розділу 3 Інструкції № 5 (за винятком готівки на виплату доходів за акціями, отриманих дивідендів, відсотків, виплат за паями від участі працівників у власності підприємства, доходів від здавання в оренду землі, </w:t>
      </w:r>
      <w:proofErr w:type="spellStart"/>
      <w:r w:rsidRPr="001C7387">
        <w:rPr>
          <w:rFonts w:ascii="Times New Roman" w:eastAsia="Times New Roman" w:hAnsi="Times New Roman" w:cs="Times New Roman"/>
          <w:sz w:val="28"/>
          <w:szCs w:val="28"/>
          <w:lang w:eastAsia="uk-UA"/>
        </w:rPr>
        <w:t>відряджень</w:t>
      </w:r>
      <w:proofErr w:type="spellEnd"/>
      <w:r w:rsidRPr="001C7387">
        <w:rPr>
          <w:rFonts w:ascii="Times New Roman" w:eastAsia="Times New Roman" w:hAnsi="Times New Roman" w:cs="Times New Roman"/>
          <w:sz w:val="28"/>
          <w:szCs w:val="28"/>
          <w:lang w:eastAsia="uk-UA"/>
        </w:rPr>
        <w:t>, позик, виданих працівникам підприємства на різні потреби, допомоги та компенсацій з Фонду соціального страхування України з тимчасової втрати працездатності,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Пенсійного фонду України, з бюджетів усіх рівнів, профспілкових, благодійних та інших фондів, які обліковуються за іншими символами). Видача готівки на виплату стипендій студентам навчальних закладів усіх рівнів акредитації незалежно від їх підпорядкованості. Видача готівки підприємцям на виплату чистого доходу.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 параметром D010 (=45) (символ) зазначається - видача банками та небанківськими фінансовими установами кредитів у готівковій формі фізичним особам та суб’єктам господарювання (у тому числі з використанням платіжних карток за кредитною схемою, без зарахування коштів на поточній рахунок).</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3. За параметром D010 (=46) (символ) зазначається - видача готівки підприємствам (підприємцям) на закупівлю сільськогосподарської продукції (згідно із Законом України </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Про Митний тариф України</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 і продуктів її перероблення в сільськогосподарських, переробних та інших підприємств (підприємців) і фізичних осіб.</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4. За параметром D010 (=50) (символ) зазначається - видача готівки на виплату пенсій та усіх видів виплат з Пенсійного фонду України, допомоги та компенсації з Фонду соціального страхування з тимчасової втрати працездатності України,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з бюджетів усіх рівнів, профспілкових, благодійних та інших фондів. Видача готівки на виплату страхових </w:t>
      </w:r>
      <w:proofErr w:type="spellStart"/>
      <w:r w:rsidRPr="001C7387">
        <w:rPr>
          <w:rFonts w:ascii="Times New Roman" w:eastAsia="Times New Roman" w:hAnsi="Times New Roman" w:cs="Times New Roman"/>
          <w:sz w:val="28"/>
          <w:szCs w:val="28"/>
          <w:lang w:eastAsia="uk-UA"/>
        </w:rPr>
        <w:t>відшкодувань</w:t>
      </w:r>
      <w:proofErr w:type="spellEnd"/>
      <w:r w:rsidRPr="001C7387">
        <w:rPr>
          <w:rFonts w:ascii="Times New Roman" w:eastAsia="Times New Roman" w:hAnsi="Times New Roman" w:cs="Times New Roman"/>
          <w:sz w:val="28"/>
          <w:szCs w:val="28"/>
          <w:lang w:eastAsia="uk-UA"/>
        </w:rPr>
        <w:t xml:space="preserve"> за всіма видами страхування.</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5. За параметром D010 (=53) (символ) зазначається - видача готівки на купівлю товарів (крім сільськогосподарської продукції і продуктів її переробки), </w:t>
      </w:r>
      <w:r w:rsidRPr="001C7387">
        <w:rPr>
          <w:rFonts w:ascii="Times New Roman" w:eastAsia="Times New Roman" w:hAnsi="Times New Roman" w:cs="Times New Roman"/>
          <w:sz w:val="28"/>
          <w:szCs w:val="28"/>
          <w:lang w:eastAsia="uk-UA"/>
        </w:rPr>
        <w:lastRenderedPageBreak/>
        <w:t>оплату послуг і виконаних робіт підприємствам (підприємцям) для власних потреб і для подальшої реалізації.</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6. За параметром D010 (=55) (символ) зазначається - видача готівки з вкладних (депозитних) та поточних рахунків фізичних осіб, у тому числі приватних нотаріусів та адвокатів [балансові рахунки 2620 (за винятком рахунків для обліку коштів за операціями з платіжними картками), 2622, 2630], процентів за вкладами.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7. За параметром D010 (=56) (символ) зазначається - видача готівки за придбану іноземну валюту.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8. За параметром D010 (=58) (символ) зазначається - видача готівки за платіжними картками (особистими та корпоративними) через платіжні пристрої та каси банків (у тому числі за платіжною карткою банку-емітента, що використовується для власних потреб). Облік ведеться банками та їх підрозділами, які здійснюють видачу готівки.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9. За параметром D010 (=59) (символ) зазначається - видача підприємствам поштового зв’язку готівкового підкріплення. Не враховується видача готівки підприємствам поштового зв’язку на заробітну плату та інші витрати, що обліковуються за відповідними символами.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10. За параметром D010 (=60) (символ) зазначається - видача готівки на придбання та погашення акцій, ощадних (депозитних) сертифікатів, облігацій та інших цінних паперів, передбачених законодавством України. Видача готівки фізичним особам на виплату доходів (дивідендів, процентів тощо) за цінними паперами відповідно до укладених договорів, умов випуску та обігу цінних паперів.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11. За параметром D010 (=61) (символ) зазначається - видача готівки, що не врахована за іншими статтями видатків.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12. За параметром D010 (=66) (символ) зазначається - видача готівки з оборотної каси для поповнення платіжних пристроїв і з платіжних пристроїв до оборотної каси (балансові рахунки 1001, 1004) та повернення в оборотну касу нереалізованих, пам’ятних монет (балансовий рахунок 1009), видача з операційної каси під звіт готівки касирам і повернення готівки касирами до операційної каси в разі ведення обліку за окремими аналітичними рахунками та пересилання готівки з операційної каси банку до його відділень, обмінних пунктів, платіжних пристроїв та з його відділень, обмінних пунктів, платіжних пристроїв до операційної каси.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13. За параметром D010 (=67) (символ) зазначається - вкладення готівки з операційної каси банку до сховища уповноваженого банку, яка стає власністю Національного банку України.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14. За параметром D010 (=72) (символ) зазначається - суми готівки (у тому числі пам’ятні монети за номінальною вартістю), уключаючи зношену, що надіслані банками, їх підрозділами та з платіжних пристроїв до установ Національного банку, іншим банкам та їх підрозділам, розташованим як у цьому регіоні, так і за його межами, та до платіжних пристроїв (продаж готівки).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lastRenderedPageBreak/>
        <w:t xml:space="preserve">ІІІ.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13</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 “</w:t>
      </w:r>
      <w:r w:rsidRPr="005F0DAD">
        <w:rPr>
          <w:rFonts w:ascii="Times New Roman" w:eastAsia="Times New Roman" w:hAnsi="Times New Roman" w:cs="Times New Roman"/>
          <w:b/>
          <w:sz w:val="28"/>
          <w:szCs w:val="28"/>
          <w:u w:val="single"/>
          <w:lang w:eastAsia="uk-UA"/>
        </w:rPr>
        <w:t>Залишок операційної каси на початок звітного періоду</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За параметром D010 (=35) (символ) зазначаються - залишки готівки в касах банків, їх підрозділів і в платіжних пристроях, які обліковуються на балансових рахунках 1001, 1002, 1003, 1004 на початок звітного періоду.</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І</w:t>
      </w:r>
      <w:r>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 “</w:t>
      </w:r>
      <w:r w:rsidRPr="005F0DAD">
        <w:rPr>
          <w:rFonts w:ascii="Times New Roman" w:eastAsia="Times New Roman" w:hAnsi="Times New Roman" w:cs="Times New Roman"/>
          <w:b/>
          <w:sz w:val="28"/>
          <w:szCs w:val="28"/>
          <w:u w:val="single"/>
          <w:lang w:eastAsia="uk-UA"/>
        </w:rPr>
        <w:t>Залишок операційної каси на кінець звітного періоду</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За параметром D010 (=70) (символ) зазначаються - залишки готівки в касах банків, їх підрозділів і в платіжних пристроях, які обліковуються на балансових рахунках 1001, 1002, 1003, 1004 на кінець звітного періоду.</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21F95">
        <w:rPr>
          <w:rFonts w:ascii="Times New Roman" w:eastAsia="Times New Roman" w:hAnsi="Times New Roman" w:cs="Times New Roman"/>
          <w:b/>
          <w:sz w:val="28"/>
          <w:szCs w:val="28"/>
          <w:u w:val="single"/>
          <w:lang w:eastAsia="uk-UA"/>
        </w:rPr>
        <w:t>00</w:t>
      </w:r>
      <w:r w:rsidRPr="001C7387">
        <w:rPr>
          <w:rFonts w:ascii="Times New Roman" w:eastAsia="Times New Roman" w:hAnsi="Times New Roman" w:cs="Times New Roman"/>
          <w:b/>
          <w:sz w:val="28"/>
          <w:szCs w:val="28"/>
          <w:u w:val="single"/>
          <w:lang w:val="ru-RU" w:eastAsia="uk-UA"/>
        </w:rPr>
        <w:t>5</w:t>
      </w:r>
      <w:r>
        <w:rPr>
          <w:rFonts w:ascii="Times New Roman" w:eastAsia="Times New Roman" w:hAnsi="Times New Roman" w:cs="Times New Roman"/>
          <w:b/>
          <w:sz w:val="28"/>
          <w:szCs w:val="28"/>
          <w:u w:val="single"/>
          <w:lang w:eastAsia="uk-UA"/>
        </w:rPr>
        <w:t xml:space="preserve"> “</w:t>
      </w:r>
      <w:r w:rsidRPr="001C7387">
        <w:rPr>
          <w:rFonts w:ascii="Times New Roman" w:eastAsia="Times New Roman" w:hAnsi="Times New Roman" w:cs="Times New Roman"/>
          <w:b/>
          <w:sz w:val="28"/>
          <w:szCs w:val="28"/>
          <w:u w:val="single"/>
          <w:lang w:eastAsia="uk-UA"/>
        </w:rPr>
        <w:t>Безготівкові зарахування на рахунки за вкладами фізичних осіб</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За параметром D010 (=84) (символ) зазначаються - заробітна плата та інші види оплати праці робітників і службовців, чистий дохід підприємців, доходи приватних нотаріусів та адвокатів від їх незалежної професійної діяльності, стипендії;</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 параметром D010 (=86) (символ) зазначаються - доходи від зданої сільськогосподарської продукції і продуктів її переробки;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За параметром D010 (=87) (символ) зазначаються - пенсії, допомога та страхові відшкодування за всіма видами страхування;</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За параметром D010 (=88) (символ) зазначаються - інші суми, у тому числі суми, нараховані витрати за відрядженням, а також суми відсотків, що нараховані за вкладами (не відображаються операції з переказу коштів між поточними рахунками, рахунками фізичних осіб, відкритих клієнтам для обліку коштів за операціями з платіжними картками, та вкладними (депозитними) рахунками груп 262, 263 балансу, які належать одній фізичній особі та здійснюються в межах банку – юридичної особи).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Дані про безготівкові перерахування грошових коштів на вкладні (депозитні) та поточні рахунки фізичних осіб, у тому числі приватних нотаріусів та адвокатів, а також суми нарахованих відсотків за поточними, строковими рахунками фізичних осіб, заповнюються банками на підставі позасистемного обліку безготівкових перерахувань грошових коштів на рахунки вкладників у розрізі зазначених символів за місцем відкриття вкладних (депозитних) та поточних рахунків (балансові рахунки 2620, 2622, 2625, 2628, 2630, 2638).</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val="en-US" w:eastAsia="uk-UA"/>
        </w:rPr>
        <w:t>VI</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eastAsia="uk-UA"/>
        </w:rPr>
        <w:t>3</w:t>
      </w:r>
      <w:r w:rsidRPr="00321F95">
        <w:rPr>
          <w:rFonts w:ascii="Times New Roman" w:eastAsia="Times New Roman" w:hAnsi="Times New Roman" w:cs="Times New Roman"/>
          <w:b/>
          <w:sz w:val="28"/>
          <w:szCs w:val="28"/>
          <w:u w:val="single"/>
          <w:lang w:eastAsia="uk-UA"/>
        </w:rPr>
        <w:t>00</w:t>
      </w:r>
      <w:r w:rsidRPr="001C73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eastAsia="uk-UA"/>
        </w:rPr>
        <w:t xml:space="preserve"> “</w:t>
      </w:r>
      <w:r w:rsidRPr="001C7387">
        <w:rPr>
          <w:rFonts w:ascii="Times New Roman" w:eastAsia="Times New Roman" w:hAnsi="Times New Roman" w:cs="Times New Roman"/>
          <w:b/>
          <w:sz w:val="28"/>
          <w:szCs w:val="28"/>
          <w:u w:val="single"/>
          <w:lang w:eastAsia="uk-UA"/>
        </w:rPr>
        <w:t>Безготівкові розрахунки</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За параметром D010 (=93) (символ) зазначаються - безготівкові розрахунки підприємств, підприємців і фізичних осіб, що здійснено з використанням платіжних карток для сплати за товари та послуги через платіжні пристрої банку-</w:t>
      </w:r>
      <w:proofErr w:type="spellStart"/>
      <w:r w:rsidRPr="001C7387">
        <w:rPr>
          <w:rFonts w:ascii="Times New Roman" w:eastAsia="Times New Roman" w:hAnsi="Times New Roman" w:cs="Times New Roman"/>
          <w:sz w:val="28"/>
          <w:szCs w:val="28"/>
          <w:lang w:eastAsia="uk-UA"/>
        </w:rPr>
        <w:t>еквайра</w:t>
      </w:r>
      <w:proofErr w:type="spellEnd"/>
      <w:r w:rsidRPr="001C7387">
        <w:rPr>
          <w:rFonts w:ascii="Times New Roman" w:eastAsia="Times New Roman" w:hAnsi="Times New Roman" w:cs="Times New Roman"/>
          <w:sz w:val="28"/>
          <w:szCs w:val="28"/>
          <w:lang w:eastAsia="uk-UA"/>
        </w:rPr>
        <w:t>, у тому числі платіжні термінали (</w:t>
      </w:r>
      <w:proofErr w:type="spellStart"/>
      <w:r w:rsidRPr="001C7387">
        <w:rPr>
          <w:rFonts w:ascii="Times New Roman" w:eastAsia="Times New Roman" w:hAnsi="Times New Roman" w:cs="Times New Roman"/>
          <w:sz w:val="28"/>
          <w:szCs w:val="28"/>
          <w:lang w:eastAsia="uk-UA"/>
        </w:rPr>
        <w:t>імпринтери</w:t>
      </w:r>
      <w:proofErr w:type="spellEnd"/>
      <w:r w:rsidRPr="001C7387">
        <w:rPr>
          <w:rFonts w:ascii="Times New Roman" w:eastAsia="Times New Roman" w:hAnsi="Times New Roman" w:cs="Times New Roman"/>
          <w:sz w:val="28"/>
          <w:szCs w:val="28"/>
          <w:lang w:eastAsia="uk-UA"/>
        </w:rPr>
        <w:t>, банкомати, у мережі Інтернет). Облік цих сум здійснюється банком-</w:t>
      </w:r>
      <w:proofErr w:type="spellStart"/>
      <w:r w:rsidRPr="001C7387">
        <w:rPr>
          <w:rFonts w:ascii="Times New Roman" w:eastAsia="Times New Roman" w:hAnsi="Times New Roman" w:cs="Times New Roman"/>
          <w:sz w:val="28"/>
          <w:szCs w:val="28"/>
          <w:lang w:eastAsia="uk-UA"/>
        </w:rPr>
        <w:t>еквайром</w:t>
      </w:r>
      <w:proofErr w:type="spellEnd"/>
      <w:r w:rsidRPr="001C7387">
        <w:rPr>
          <w:rFonts w:ascii="Times New Roman" w:eastAsia="Times New Roman" w:hAnsi="Times New Roman" w:cs="Times New Roman"/>
          <w:sz w:val="28"/>
          <w:szCs w:val="28"/>
          <w:lang w:eastAsia="uk-UA"/>
        </w:rPr>
        <w:t>. Дані про безготівкові розрахунки за товари та послуги заповнюються банком-</w:t>
      </w:r>
      <w:proofErr w:type="spellStart"/>
      <w:r w:rsidRPr="001C7387">
        <w:rPr>
          <w:rFonts w:ascii="Times New Roman" w:eastAsia="Times New Roman" w:hAnsi="Times New Roman" w:cs="Times New Roman"/>
          <w:sz w:val="28"/>
          <w:szCs w:val="28"/>
          <w:lang w:eastAsia="uk-UA"/>
        </w:rPr>
        <w:t>еквайром</w:t>
      </w:r>
      <w:proofErr w:type="spellEnd"/>
      <w:r w:rsidRPr="001C7387">
        <w:rPr>
          <w:rFonts w:ascii="Times New Roman" w:eastAsia="Times New Roman" w:hAnsi="Times New Roman" w:cs="Times New Roman"/>
          <w:sz w:val="28"/>
          <w:szCs w:val="28"/>
          <w:lang w:eastAsia="uk-UA"/>
        </w:rPr>
        <w:t xml:space="preserve"> на підставі даних, поданих банку </w:t>
      </w:r>
      <w:proofErr w:type="spellStart"/>
      <w:r w:rsidRPr="001C7387">
        <w:rPr>
          <w:rFonts w:ascii="Times New Roman" w:eastAsia="Times New Roman" w:hAnsi="Times New Roman" w:cs="Times New Roman"/>
          <w:sz w:val="28"/>
          <w:szCs w:val="28"/>
          <w:lang w:eastAsia="uk-UA"/>
        </w:rPr>
        <w:t>процесинговими</w:t>
      </w:r>
      <w:proofErr w:type="spellEnd"/>
      <w:r w:rsidRPr="001C7387">
        <w:rPr>
          <w:rFonts w:ascii="Times New Roman" w:eastAsia="Times New Roman" w:hAnsi="Times New Roman" w:cs="Times New Roman"/>
          <w:sz w:val="28"/>
          <w:szCs w:val="28"/>
          <w:lang w:eastAsia="uk-UA"/>
        </w:rPr>
        <w:t xml:space="preserve"> центрами, та власної </w:t>
      </w:r>
      <w:r w:rsidRPr="001C7387">
        <w:rPr>
          <w:rFonts w:ascii="Times New Roman" w:eastAsia="Times New Roman" w:hAnsi="Times New Roman" w:cs="Times New Roman"/>
          <w:sz w:val="28"/>
          <w:szCs w:val="28"/>
          <w:lang w:eastAsia="uk-UA"/>
        </w:rPr>
        <w:lastRenderedPageBreak/>
        <w:t>інформації, отриманої з автоматизованих карткових систем банку. Ці розрахунки мають відображатися банками – юридичними особами в регіональному розрізі.</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 параметром D010 (=94) (символ) зазначаються - платежі фізичних осіб для сплати за цінні папери розрахунковими чеками та іншими безготівковими перерахуваннями за дорученням фізичних осіб з їх вкладних (депозитних) та поточних рахунків у банках [балансові рахунки 2620 (за винятком рахунків для обліку коштів за операціями з платіжними картками), 2622, 2630].</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За параметром D010 (=95) (символ) зазначаються - платежі фізичних осіб, у тому числі приватних нотаріусів та адвокатів, розрахунковими чеками та іншими платіжними інструментами (крім платежів за рахунками фізичних осіб, відкритих клієнтам для обліку коштів за операціями з платіжними картками) за дорученням фізичних осіб із їх вкладних (депозитних) та поточних рахунків у банках та їх підрозділах [балансові рахунки 2620 (за винятком рахунків для обліку коштів за операціями з платіжними картками), 2622, 2630] для сплати за товари, послуги та інші перерахування.</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Дані за символами 94, 95 заповнюються банками та їх підрозділами, у яких відкрито рахунки фізичних осіб, у тому числі приватних нотаріусів та адвокатів [не відображаються операції з переказу коштів між поточними рахунками, рахунками фізичних осіб, відкритих клієнтам для обліку коштів за операціями з платіжними картками, та вкладними (депозитними) рахунками груп 262, 263 балансу, які належать одній фізичній особі і здійснюються в межах банку – юридичної особи], на підставі позасистемного обліку безготівкових перерахувань грошових коштів за рахунками вкладників.</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val="en-US" w:eastAsia="uk-UA"/>
        </w:rPr>
        <w:t>VII</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21F95">
        <w:rPr>
          <w:rFonts w:ascii="Times New Roman" w:eastAsia="Times New Roman" w:hAnsi="Times New Roman" w:cs="Times New Roman"/>
          <w:b/>
          <w:sz w:val="28"/>
          <w:szCs w:val="28"/>
          <w:u w:val="single"/>
          <w:lang w:eastAsia="uk-UA"/>
        </w:rPr>
        <w:t>00</w:t>
      </w:r>
      <w:r w:rsidRPr="001C7387">
        <w:rPr>
          <w:rFonts w:ascii="Times New Roman" w:eastAsia="Times New Roman" w:hAnsi="Times New Roman" w:cs="Times New Roman"/>
          <w:b/>
          <w:sz w:val="28"/>
          <w:szCs w:val="28"/>
          <w:u w:val="single"/>
          <w:lang w:val="ru-RU" w:eastAsia="uk-UA"/>
        </w:rPr>
        <w:t>7</w:t>
      </w:r>
      <w:r>
        <w:rPr>
          <w:rFonts w:ascii="Times New Roman" w:eastAsia="Times New Roman" w:hAnsi="Times New Roman" w:cs="Times New Roman"/>
          <w:b/>
          <w:sz w:val="28"/>
          <w:szCs w:val="28"/>
          <w:u w:val="single"/>
          <w:lang w:eastAsia="uk-UA"/>
        </w:rPr>
        <w:t xml:space="preserve"> “</w:t>
      </w:r>
      <w:r w:rsidRPr="001C7387">
        <w:rPr>
          <w:rFonts w:ascii="Times New Roman" w:eastAsia="Times New Roman" w:hAnsi="Times New Roman" w:cs="Times New Roman"/>
          <w:b/>
          <w:sz w:val="28"/>
          <w:szCs w:val="28"/>
          <w:u w:val="single"/>
          <w:lang w:eastAsia="uk-UA"/>
        </w:rPr>
        <w:t>Загальна сума надходжень готівки від небанківських фінансових установ та комерційних агентів банків</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487BB7" w:rsidRPr="00487BB7" w:rsidRDefault="004F5BF2" w:rsidP="004F5BF2">
      <w:pPr>
        <w:spacing w:after="0" w:line="240" w:lineRule="auto"/>
        <w:ind w:firstLine="709"/>
        <w:jc w:val="both"/>
        <w:rPr>
          <w:rFonts w:ascii="Times New Roman" w:eastAsia="Times New Roman" w:hAnsi="Times New Roman" w:cs="Times New Roman"/>
          <w:sz w:val="28"/>
          <w:szCs w:val="28"/>
          <w:lang w:eastAsia="uk-UA"/>
        </w:rPr>
      </w:pPr>
      <w:r w:rsidRPr="004F5BF2">
        <w:rPr>
          <w:rFonts w:ascii="Times New Roman" w:eastAsia="Times New Roman" w:hAnsi="Times New Roman" w:cs="Times New Roman"/>
          <w:sz w:val="28"/>
          <w:szCs w:val="28"/>
          <w:lang w:eastAsia="uk-UA"/>
        </w:rPr>
        <w:t xml:space="preserve">1. За параметром D010 (=97) (символ) зазначаються - усі надходження готівки від небанківських фінансових установ та комерційних агентів банків, що прийнята ними для подальшого переказу та врахована за іншими символами відповідно до їх змісту. Облік ведеться банками та їх підрозділами, які здійснюють приймання готівки від небанківських фінансових установ та комерційних агентів банків, що функціонують відповідно до постанови Правління Національного банку України від 12 лютого 2013 року №42 </w:t>
      </w:r>
      <w:r w:rsidR="0083618D" w:rsidRPr="0083618D">
        <w:rPr>
          <w:rFonts w:ascii="Times New Roman" w:eastAsia="Times New Roman" w:hAnsi="Times New Roman" w:cs="Times New Roman"/>
          <w:sz w:val="28"/>
          <w:szCs w:val="28"/>
          <w:lang w:eastAsia="uk-UA"/>
        </w:rPr>
        <w:t>“</w:t>
      </w:r>
      <w:r w:rsidRPr="004F5BF2">
        <w:rPr>
          <w:rFonts w:ascii="Times New Roman" w:eastAsia="Times New Roman" w:hAnsi="Times New Roman" w:cs="Times New Roman"/>
          <w:sz w:val="28"/>
          <w:szCs w:val="28"/>
          <w:lang w:eastAsia="uk-UA"/>
        </w:rPr>
        <w:t>Про врегулювання питань щодо приймання готівки для подальшого її переказу</w:t>
      </w:r>
      <w:r w:rsidR="0083618D" w:rsidRPr="0083618D">
        <w:rPr>
          <w:rFonts w:ascii="Times New Roman" w:eastAsia="Times New Roman" w:hAnsi="Times New Roman" w:cs="Times New Roman"/>
          <w:sz w:val="28"/>
          <w:szCs w:val="28"/>
          <w:lang w:eastAsia="uk-UA"/>
        </w:rPr>
        <w:t>”</w:t>
      </w:r>
      <w:r w:rsidRPr="004F5BF2">
        <w:rPr>
          <w:rFonts w:ascii="Times New Roman" w:eastAsia="Times New Roman" w:hAnsi="Times New Roman" w:cs="Times New Roman"/>
          <w:sz w:val="28"/>
          <w:szCs w:val="28"/>
          <w:lang w:eastAsia="uk-UA"/>
        </w:rPr>
        <w:t>, зареєстрованої в Міністерстві юстиції України 06 березня 2013 року за №372/22904.</w:t>
      </w:r>
    </w:p>
    <w:sectPr w:rsidR="00487BB7" w:rsidRPr="00487BB7"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105AF"/>
    <w:rsid w:val="00010945"/>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610B6"/>
    <w:rsid w:val="00066FAA"/>
    <w:rsid w:val="000752B1"/>
    <w:rsid w:val="000836E2"/>
    <w:rsid w:val="00084510"/>
    <w:rsid w:val="00090A4B"/>
    <w:rsid w:val="00095835"/>
    <w:rsid w:val="0009598E"/>
    <w:rsid w:val="0009798C"/>
    <w:rsid w:val="000A114A"/>
    <w:rsid w:val="000A67D1"/>
    <w:rsid w:val="000C4C35"/>
    <w:rsid w:val="000C58A6"/>
    <w:rsid w:val="000D1E94"/>
    <w:rsid w:val="000E4103"/>
    <w:rsid w:val="000F0EAA"/>
    <w:rsid w:val="000F6780"/>
    <w:rsid w:val="000F7563"/>
    <w:rsid w:val="00111B0A"/>
    <w:rsid w:val="00123298"/>
    <w:rsid w:val="00123EAD"/>
    <w:rsid w:val="001267B5"/>
    <w:rsid w:val="00136BC7"/>
    <w:rsid w:val="001465D9"/>
    <w:rsid w:val="00151B3E"/>
    <w:rsid w:val="0015637F"/>
    <w:rsid w:val="00156488"/>
    <w:rsid w:val="00160EA9"/>
    <w:rsid w:val="0016235A"/>
    <w:rsid w:val="001642E2"/>
    <w:rsid w:val="0017138F"/>
    <w:rsid w:val="00173B31"/>
    <w:rsid w:val="00175EE8"/>
    <w:rsid w:val="00176CDE"/>
    <w:rsid w:val="0018517D"/>
    <w:rsid w:val="0019685B"/>
    <w:rsid w:val="00197C93"/>
    <w:rsid w:val="001A6BCD"/>
    <w:rsid w:val="001C61D8"/>
    <w:rsid w:val="001C7387"/>
    <w:rsid w:val="001D28D6"/>
    <w:rsid w:val="001D595A"/>
    <w:rsid w:val="001E0CB7"/>
    <w:rsid w:val="001E2070"/>
    <w:rsid w:val="001F13B0"/>
    <w:rsid w:val="001F1B80"/>
    <w:rsid w:val="0020381D"/>
    <w:rsid w:val="00203DD1"/>
    <w:rsid w:val="00215519"/>
    <w:rsid w:val="0022797B"/>
    <w:rsid w:val="002310A3"/>
    <w:rsid w:val="00231C54"/>
    <w:rsid w:val="00234366"/>
    <w:rsid w:val="002365E4"/>
    <w:rsid w:val="00237EFA"/>
    <w:rsid w:val="002419C5"/>
    <w:rsid w:val="00243F69"/>
    <w:rsid w:val="0024619A"/>
    <w:rsid w:val="002532BB"/>
    <w:rsid w:val="0025451C"/>
    <w:rsid w:val="00270572"/>
    <w:rsid w:val="002705F9"/>
    <w:rsid w:val="0027433B"/>
    <w:rsid w:val="002744B6"/>
    <w:rsid w:val="0028027C"/>
    <w:rsid w:val="00290A63"/>
    <w:rsid w:val="00294836"/>
    <w:rsid w:val="00294EFC"/>
    <w:rsid w:val="0029534F"/>
    <w:rsid w:val="002A4439"/>
    <w:rsid w:val="002B44A1"/>
    <w:rsid w:val="002D0980"/>
    <w:rsid w:val="002D7736"/>
    <w:rsid w:val="002E2506"/>
    <w:rsid w:val="002E2626"/>
    <w:rsid w:val="00303197"/>
    <w:rsid w:val="0031365C"/>
    <w:rsid w:val="00314177"/>
    <w:rsid w:val="003328CF"/>
    <w:rsid w:val="00334EBB"/>
    <w:rsid w:val="00335927"/>
    <w:rsid w:val="0033665F"/>
    <w:rsid w:val="003432AB"/>
    <w:rsid w:val="0034586C"/>
    <w:rsid w:val="003471ED"/>
    <w:rsid w:val="00347F3F"/>
    <w:rsid w:val="003522F0"/>
    <w:rsid w:val="0036055C"/>
    <w:rsid w:val="003723D3"/>
    <w:rsid w:val="003764DF"/>
    <w:rsid w:val="0037777B"/>
    <w:rsid w:val="00386AE1"/>
    <w:rsid w:val="003921A5"/>
    <w:rsid w:val="003A1259"/>
    <w:rsid w:val="003A4EBF"/>
    <w:rsid w:val="003A743E"/>
    <w:rsid w:val="003B35CE"/>
    <w:rsid w:val="003B44E6"/>
    <w:rsid w:val="003C129A"/>
    <w:rsid w:val="003C2B77"/>
    <w:rsid w:val="003C41A1"/>
    <w:rsid w:val="003C547C"/>
    <w:rsid w:val="003D0D36"/>
    <w:rsid w:val="003E0796"/>
    <w:rsid w:val="003F086A"/>
    <w:rsid w:val="00403386"/>
    <w:rsid w:val="004036FD"/>
    <w:rsid w:val="004117AE"/>
    <w:rsid w:val="0041287A"/>
    <w:rsid w:val="00431CAE"/>
    <w:rsid w:val="00444BC6"/>
    <w:rsid w:val="0044516C"/>
    <w:rsid w:val="004568B1"/>
    <w:rsid w:val="00465256"/>
    <w:rsid w:val="00472A01"/>
    <w:rsid w:val="00481479"/>
    <w:rsid w:val="00484C32"/>
    <w:rsid w:val="00487836"/>
    <w:rsid w:val="00487860"/>
    <w:rsid w:val="00487BB7"/>
    <w:rsid w:val="00493754"/>
    <w:rsid w:val="00494D60"/>
    <w:rsid w:val="004A120F"/>
    <w:rsid w:val="004B06C0"/>
    <w:rsid w:val="004B33F1"/>
    <w:rsid w:val="004B66DF"/>
    <w:rsid w:val="004C1BD2"/>
    <w:rsid w:val="004D1CE0"/>
    <w:rsid w:val="004D6717"/>
    <w:rsid w:val="004E149A"/>
    <w:rsid w:val="004E2E62"/>
    <w:rsid w:val="004E60F6"/>
    <w:rsid w:val="004E704C"/>
    <w:rsid w:val="004F0611"/>
    <w:rsid w:val="004F12D3"/>
    <w:rsid w:val="004F5BF2"/>
    <w:rsid w:val="00506E31"/>
    <w:rsid w:val="00513F1F"/>
    <w:rsid w:val="00527A50"/>
    <w:rsid w:val="005311BA"/>
    <w:rsid w:val="005325F6"/>
    <w:rsid w:val="00532DA7"/>
    <w:rsid w:val="00535144"/>
    <w:rsid w:val="00537385"/>
    <w:rsid w:val="005402EB"/>
    <w:rsid w:val="005415A7"/>
    <w:rsid w:val="00544DBC"/>
    <w:rsid w:val="00546A7A"/>
    <w:rsid w:val="00552B1F"/>
    <w:rsid w:val="00557A2C"/>
    <w:rsid w:val="005614BD"/>
    <w:rsid w:val="00570A46"/>
    <w:rsid w:val="00570E10"/>
    <w:rsid w:val="00582BB8"/>
    <w:rsid w:val="00586627"/>
    <w:rsid w:val="00592560"/>
    <w:rsid w:val="00594245"/>
    <w:rsid w:val="005A4C29"/>
    <w:rsid w:val="005A6498"/>
    <w:rsid w:val="005B3633"/>
    <w:rsid w:val="005E1AF4"/>
    <w:rsid w:val="005E41A8"/>
    <w:rsid w:val="005E4B6F"/>
    <w:rsid w:val="005E63A7"/>
    <w:rsid w:val="005F0DAD"/>
    <w:rsid w:val="005F1E09"/>
    <w:rsid w:val="005F6DB9"/>
    <w:rsid w:val="005F717C"/>
    <w:rsid w:val="006121EC"/>
    <w:rsid w:val="006135DF"/>
    <w:rsid w:val="00613E69"/>
    <w:rsid w:val="00617DC7"/>
    <w:rsid w:val="00651074"/>
    <w:rsid w:val="00655EF8"/>
    <w:rsid w:val="006649B5"/>
    <w:rsid w:val="006657F0"/>
    <w:rsid w:val="006666B7"/>
    <w:rsid w:val="0067017A"/>
    <w:rsid w:val="0067035D"/>
    <w:rsid w:val="00675E9D"/>
    <w:rsid w:val="00677BD2"/>
    <w:rsid w:val="00684A58"/>
    <w:rsid w:val="0068677D"/>
    <w:rsid w:val="0069089C"/>
    <w:rsid w:val="0069401B"/>
    <w:rsid w:val="00696E92"/>
    <w:rsid w:val="006C63A9"/>
    <w:rsid w:val="006D12F2"/>
    <w:rsid w:val="006D6752"/>
    <w:rsid w:val="006D7158"/>
    <w:rsid w:val="006E7FB6"/>
    <w:rsid w:val="006F15D9"/>
    <w:rsid w:val="0070278B"/>
    <w:rsid w:val="00704D69"/>
    <w:rsid w:val="007073CF"/>
    <w:rsid w:val="007105D8"/>
    <w:rsid w:val="007235CD"/>
    <w:rsid w:val="00723BBB"/>
    <w:rsid w:val="00732E8D"/>
    <w:rsid w:val="00733A3B"/>
    <w:rsid w:val="00737082"/>
    <w:rsid w:val="00741319"/>
    <w:rsid w:val="0074225A"/>
    <w:rsid w:val="00751617"/>
    <w:rsid w:val="00752958"/>
    <w:rsid w:val="00753EF3"/>
    <w:rsid w:val="00766457"/>
    <w:rsid w:val="00770E2D"/>
    <w:rsid w:val="00772DDB"/>
    <w:rsid w:val="007847BD"/>
    <w:rsid w:val="00785950"/>
    <w:rsid w:val="0078666A"/>
    <w:rsid w:val="007919A7"/>
    <w:rsid w:val="00793EC1"/>
    <w:rsid w:val="007A1EF8"/>
    <w:rsid w:val="007A3237"/>
    <w:rsid w:val="007B1114"/>
    <w:rsid w:val="007B6250"/>
    <w:rsid w:val="007C272A"/>
    <w:rsid w:val="007C5693"/>
    <w:rsid w:val="007C591A"/>
    <w:rsid w:val="007D1D50"/>
    <w:rsid w:val="007E227D"/>
    <w:rsid w:val="007E56EB"/>
    <w:rsid w:val="007F1CA7"/>
    <w:rsid w:val="007F1ECD"/>
    <w:rsid w:val="007F22F6"/>
    <w:rsid w:val="007F35D3"/>
    <w:rsid w:val="007F4061"/>
    <w:rsid w:val="00800157"/>
    <w:rsid w:val="008010BF"/>
    <w:rsid w:val="00804DA4"/>
    <w:rsid w:val="008058F7"/>
    <w:rsid w:val="008107CB"/>
    <w:rsid w:val="00826DB8"/>
    <w:rsid w:val="0083618D"/>
    <w:rsid w:val="00841164"/>
    <w:rsid w:val="00851755"/>
    <w:rsid w:val="00864020"/>
    <w:rsid w:val="0086555E"/>
    <w:rsid w:val="008768DD"/>
    <w:rsid w:val="00877BBA"/>
    <w:rsid w:val="008802C3"/>
    <w:rsid w:val="008821B5"/>
    <w:rsid w:val="00885CF4"/>
    <w:rsid w:val="0088742D"/>
    <w:rsid w:val="008A7BF1"/>
    <w:rsid w:val="008C3577"/>
    <w:rsid w:val="008C6817"/>
    <w:rsid w:val="0091794F"/>
    <w:rsid w:val="009214FA"/>
    <w:rsid w:val="00923695"/>
    <w:rsid w:val="009332D0"/>
    <w:rsid w:val="00934373"/>
    <w:rsid w:val="00934498"/>
    <w:rsid w:val="00940E8C"/>
    <w:rsid w:val="009454A1"/>
    <w:rsid w:val="00951486"/>
    <w:rsid w:val="009534FD"/>
    <w:rsid w:val="00960C53"/>
    <w:rsid w:val="00965760"/>
    <w:rsid w:val="00971196"/>
    <w:rsid w:val="00976060"/>
    <w:rsid w:val="00986F13"/>
    <w:rsid w:val="009927B9"/>
    <w:rsid w:val="009A3CD8"/>
    <w:rsid w:val="009B5CF3"/>
    <w:rsid w:val="009C3AC4"/>
    <w:rsid w:val="009D148E"/>
    <w:rsid w:val="009D3453"/>
    <w:rsid w:val="009D581C"/>
    <w:rsid w:val="009D6170"/>
    <w:rsid w:val="009F103E"/>
    <w:rsid w:val="00A0324C"/>
    <w:rsid w:val="00A11B0D"/>
    <w:rsid w:val="00A13D12"/>
    <w:rsid w:val="00A31072"/>
    <w:rsid w:val="00A32139"/>
    <w:rsid w:val="00A4794F"/>
    <w:rsid w:val="00A54827"/>
    <w:rsid w:val="00A55FA0"/>
    <w:rsid w:val="00A56590"/>
    <w:rsid w:val="00A627A8"/>
    <w:rsid w:val="00A672CC"/>
    <w:rsid w:val="00A80E92"/>
    <w:rsid w:val="00A92BDB"/>
    <w:rsid w:val="00A93CC7"/>
    <w:rsid w:val="00AB52B1"/>
    <w:rsid w:val="00AC05F8"/>
    <w:rsid w:val="00AC1F56"/>
    <w:rsid w:val="00AC2FD5"/>
    <w:rsid w:val="00AD5BBA"/>
    <w:rsid w:val="00AE1C7E"/>
    <w:rsid w:val="00AE3AD5"/>
    <w:rsid w:val="00AE4C38"/>
    <w:rsid w:val="00AE5A04"/>
    <w:rsid w:val="00AF6817"/>
    <w:rsid w:val="00B07495"/>
    <w:rsid w:val="00B10766"/>
    <w:rsid w:val="00B12912"/>
    <w:rsid w:val="00B12FE1"/>
    <w:rsid w:val="00B206C2"/>
    <w:rsid w:val="00B207C0"/>
    <w:rsid w:val="00B25279"/>
    <w:rsid w:val="00B26BE5"/>
    <w:rsid w:val="00B37FD8"/>
    <w:rsid w:val="00B4109B"/>
    <w:rsid w:val="00B461E9"/>
    <w:rsid w:val="00B501CE"/>
    <w:rsid w:val="00B52782"/>
    <w:rsid w:val="00B762FB"/>
    <w:rsid w:val="00B80932"/>
    <w:rsid w:val="00BA75E7"/>
    <w:rsid w:val="00BC5C56"/>
    <w:rsid w:val="00BD1B8D"/>
    <w:rsid w:val="00BE01AE"/>
    <w:rsid w:val="00BE21C2"/>
    <w:rsid w:val="00BE22A5"/>
    <w:rsid w:val="00BE29C5"/>
    <w:rsid w:val="00BE33CB"/>
    <w:rsid w:val="00BF3443"/>
    <w:rsid w:val="00BF3C94"/>
    <w:rsid w:val="00C032DB"/>
    <w:rsid w:val="00C03B76"/>
    <w:rsid w:val="00C12774"/>
    <w:rsid w:val="00C12E25"/>
    <w:rsid w:val="00C13244"/>
    <w:rsid w:val="00C21CD1"/>
    <w:rsid w:val="00C31FCB"/>
    <w:rsid w:val="00C34E12"/>
    <w:rsid w:val="00C40379"/>
    <w:rsid w:val="00C4084A"/>
    <w:rsid w:val="00C447DC"/>
    <w:rsid w:val="00C46038"/>
    <w:rsid w:val="00C46964"/>
    <w:rsid w:val="00C506B3"/>
    <w:rsid w:val="00C52D7E"/>
    <w:rsid w:val="00C61E16"/>
    <w:rsid w:val="00C77D7E"/>
    <w:rsid w:val="00C976B1"/>
    <w:rsid w:val="00CA2221"/>
    <w:rsid w:val="00CA4D65"/>
    <w:rsid w:val="00CA539A"/>
    <w:rsid w:val="00CB0BDF"/>
    <w:rsid w:val="00CB11C8"/>
    <w:rsid w:val="00CC3FB2"/>
    <w:rsid w:val="00CD7752"/>
    <w:rsid w:val="00CE2469"/>
    <w:rsid w:val="00CE2903"/>
    <w:rsid w:val="00CF397F"/>
    <w:rsid w:val="00CF582A"/>
    <w:rsid w:val="00D0619B"/>
    <w:rsid w:val="00D12A75"/>
    <w:rsid w:val="00D15516"/>
    <w:rsid w:val="00D16897"/>
    <w:rsid w:val="00D26930"/>
    <w:rsid w:val="00D31EF1"/>
    <w:rsid w:val="00D41FF6"/>
    <w:rsid w:val="00D50AFD"/>
    <w:rsid w:val="00D54653"/>
    <w:rsid w:val="00D62434"/>
    <w:rsid w:val="00D66DC0"/>
    <w:rsid w:val="00DA1668"/>
    <w:rsid w:val="00DA5E9F"/>
    <w:rsid w:val="00DB112F"/>
    <w:rsid w:val="00DB2D1A"/>
    <w:rsid w:val="00DC6BE8"/>
    <w:rsid w:val="00DC7120"/>
    <w:rsid w:val="00DD46B2"/>
    <w:rsid w:val="00DD75AC"/>
    <w:rsid w:val="00E03BF3"/>
    <w:rsid w:val="00E060F3"/>
    <w:rsid w:val="00E23DB5"/>
    <w:rsid w:val="00E31FC7"/>
    <w:rsid w:val="00E40070"/>
    <w:rsid w:val="00E41F99"/>
    <w:rsid w:val="00E45B7C"/>
    <w:rsid w:val="00E55A39"/>
    <w:rsid w:val="00E61958"/>
    <w:rsid w:val="00E64AD0"/>
    <w:rsid w:val="00E6594C"/>
    <w:rsid w:val="00E71D9B"/>
    <w:rsid w:val="00E83A7D"/>
    <w:rsid w:val="00E90452"/>
    <w:rsid w:val="00E943BB"/>
    <w:rsid w:val="00EB0635"/>
    <w:rsid w:val="00EB2990"/>
    <w:rsid w:val="00EB2CDC"/>
    <w:rsid w:val="00EB3A2B"/>
    <w:rsid w:val="00EB40BF"/>
    <w:rsid w:val="00EE2E2A"/>
    <w:rsid w:val="00EF0C69"/>
    <w:rsid w:val="00EF374C"/>
    <w:rsid w:val="00EF6944"/>
    <w:rsid w:val="00EF7415"/>
    <w:rsid w:val="00F01039"/>
    <w:rsid w:val="00F06433"/>
    <w:rsid w:val="00F11108"/>
    <w:rsid w:val="00F24B4E"/>
    <w:rsid w:val="00F25E1F"/>
    <w:rsid w:val="00F36784"/>
    <w:rsid w:val="00F4525D"/>
    <w:rsid w:val="00F45B1D"/>
    <w:rsid w:val="00F465C9"/>
    <w:rsid w:val="00F71DE8"/>
    <w:rsid w:val="00F75A8B"/>
    <w:rsid w:val="00F77B01"/>
    <w:rsid w:val="00F94CDD"/>
    <w:rsid w:val="00FA0164"/>
    <w:rsid w:val="00FA1987"/>
    <w:rsid w:val="00FA2F31"/>
    <w:rsid w:val="00FC0416"/>
    <w:rsid w:val="00FD2EE5"/>
    <w:rsid w:val="00FD3245"/>
    <w:rsid w:val="00FD6787"/>
    <w:rsid w:val="00FE1CD8"/>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ечания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Обычны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0893-D9B1-4914-B8DD-7F508BA64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25210</Words>
  <Characters>14371</Characters>
  <Application>Microsoft Office Word</Application>
  <DocSecurity>0</DocSecurity>
  <Lines>119</Lines>
  <Paragraphs>79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2018-01-04T08:06:00Z</cp:lastPrinted>
  <dcterms:created xsi:type="dcterms:W3CDTF">2020-02-28T12:22:00Z</dcterms:created>
  <dcterms:modified xsi:type="dcterms:W3CDTF">2020-02-28T12:22:00Z</dcterms:modified>
</cp:coreProperties>
</file>