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6A55E" w14:textId="77777777" w:rsidR="00710A0C" w:rsidRPr="00D371E4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42C8DD" w14:textId="77777777" w:rsidR="00710A0C" w:rsidRPr="00D371E4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A2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A2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31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5131A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A2</w:t>
      </w:r>
      <w:r w:rsidR="0035131A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="0035131A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5131A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32</w:t>
      </w:r>
      <w:r w:rsidR="0035131A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2208539" w14:textId="77777777" w:rsidR="00710A0C" w:rsidRPr="00D371E4" w:rsidRDefault="00710A0C" w:rsidP="00710A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="00714F8E"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взаємодію небанківських установ зі спеціально уповноваженим органом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4A3CBBA" w14:textId="77777777" w:rsidR="00710A0C" w:rsidRPr="00D371E4" w:rsidRDefault="00710A0C" w:rsidP="00710A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1CD8D2D" w14:textId="09FCE38D" w:rsidR="00F474B4" w:rsidRPr="00D371E4" w:rsidRDefault="00F474B4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A2J030 зазначаються згруповані у розрізі кодів довідника </w:t>
      </w:r>
      <w:r w:rsidRPr="00D371E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124 дані, що </w:t>
      </w:r>
      <w:r w:rsidR="0058776B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58776B" w:rsidRPr="00D371E4">
        <w:rPr>
          <w:rFonts w:ascii="Times New Roman" w:hAnsi="Times New Roman"/>
          <w:sz w:val="28"/>
          <w:szCs w:val="28"/>
          <w:lang w:eastAsia="uk-UA"/>
        </w:rPr>
        <w:t>Положення про здійснення установами фінансового моніторингу, затвердженого постановою Правління Національного банку України від 28.07.2020 №</w:t>
      </w:r>
      <w:r w:rsidR="005F2C4D" w:rsidRPr="00D371E4">
        <w:rPr>
          <w:rFonts w:ascii="Times New Roman" w:hAnsi="Times New Roman"/>
          <w:sz w:val="28"/>
          <w:szCs w:val="28"/>
          <w:lang w:eastAsia="uk-UA"/>
        </w:rPr>
        <w:t> </w:t>
      </w:r>
      <w:r w:rsidR="0058776B" w:rsidRPr="00D371E4">
        <w:rPr>
          <w:rFonts w:ascii="Times New Roman" w:hAnsi="Times New Roman"/>
          <w:sz w:val="28"/>
          <w:szCs w:val="28"/>
          <w:lang w:eastAsia="uk-UA"/>
        </w:rPr>
        <w:t>107 (далі – Положення)</w:t>
      </w:r>
      <w:r w:rsidR="00A72E8D" w:rsidRPr="00D371E4">
        <w:rPr>
          <w:rFonts w:ascii="Times New Roman" w:hAnsi="Times New Roman"/>
          <w:sz w:val="28"/>
          <w:szCs w:val="28"/>
          <w:lang w:eastAsia="uk-UA"/>
        </w:rPr>
        <w:t>,</w:t>
      </w:r>
      <w:r w:rsidR="0058776B" w:rsidRPr="00D371E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776B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внесені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реєстрів:</w:t>
      </w:r>
    </w:p>
    <w:p w14:paraId="55ADE737" w14:textId="215694E1" w:rsidR="00F474B4" w:rsidRPr="00D371E4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 установи, що підлягають фінансовому моніторингу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8C0A17" w14:textId="67C96C55" w:rsidR="00F474B4" w:rsidRPr="00D371E4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 про підозрілу фінансову діяльність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66BD76B" w14:textId="4DB9C70C" w:rsidR="00F474B4" w:rsidRPr="00D371E4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розбіжностей про </w:t>
      </w:r>
      <w:r w:rsidR="007E0D85" w:rsidRPr="00D371E4">
        <w:rPr>
          <w:rFonts w:ascii="Times New Roman" w:hAnsi="Times New Roman" w:cs="Times New Roman"/>
          <w:sz w:val="28"/>
          <w:szCs w:val="28"/>
        </w:rPr>
        <w:t>кінцев</w:t>
      </w:r>
      <w:r w:rsidR="00D03EC7" w:rsidRPr="00D371E4">
        <w:rPr>
          <w:rFonts w:ascii="Times New Roman" w:hAnsi="Times New Roman" w:cs="Times New Roman"/>
          <w:sz w:val="28"/>
          <w:szCs w:val="28"/>
        </w:rPr>
        <w:t>их</w:t>
      </w:r>
      <w:r w:rsidR="007E0D85" w:rsidRPr="00D371E4">
        <w:rPr>
          <w:rFonts w:ascii="Times New Roman" w:hAnsi="Times New Roman" w:cs="Times New Roman"/>
          <w:sz w:val="28"/>
          <w:szCs w:val="28"/>
        </w:rPr>
        <w:t xml:space="preserve"> бенефіціарни</w:t>
      </w:r>
      <w:r w:rsidR="00D03EC7" w:rsidRPr="00D371E4">
        <w:rPr>
          <w:rFonts w:ascii="Times New Roman" w:hAnsi="Times New Roman" w:cs="Times New Roman"/>
          <w:sz w:val="28"/>
          <w:szCs w:val="28"/>
        </w:rPr>
        <w:t>х</w:t>
      </w:r>
      <w:r w:rsidR="007E0D85" w:rsidRPr="00D371E4">
        <w:rPr>
          <w:rFonts w:ascii="Times New Roman" w:hAnsi="Times New Roman" w:cs="Times New Roman"/>
          <w:sz w:val="28"/>
          <w:szCs w:val="28"/>
        </w:rPr>
        <w:t xml:space="preserve"> власник</w:t>
      </w:r>
      <w:r w:rsidR="00D03EC7" w:rsidRPr="00D371E4">
        <w:rPr>
          <w:rFonts w:ascii="Times New Roman" w:hAnsi="Times New Roman" w:cs="Times New Roman"/>
          <w:sz w:val="28"/>
          <w:szCs w:val="28"/>
        </w:rPr>
        <w:t>ів</w:t>
      </w:r>
      <w:r w:rsidR="0032160D" w:rsidRPr="00D371E4">
        <w:rPr>
          <w:rFonts w:ascii="Times New Roman" w:hAnsi="Times New Roman" w:cs="Times New Roman"/>
          <w:sz w:val="28"/>
          <w:szCs w:val="28"/>
        </w:rPr>
        <w:t xml:space="preserve"> </w:t>
      </w:r>
      <w:r w:rsidR="00D03EC7" w:rsidRPr="00D371E4">
        <w:rPr>
          <w:rFonts w:ascii="Times New Roman" w:hAnsi="Times New Roman" w:cs="Times New Roman"/>
          <w:sz w:val="28"/>
          <w:szCs w:val="28"/>
        </w:rPr>
        <w:t>(далі –</w:t>
      </w:r>
      <w:r w:rsidR="007E0D85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КБВ</w:t>
      </w:r>
      <w:r w:rsidR="00D03E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233ED27" w14:textId="39EDD3A1" w:rsidR="00F474B4" w:rsidRPr="00D371E4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1DBD5E" w14:textId="77777777" w:rsidR="00F474B4" w:rsidRPr="00D371E4" w:rsidRDefault="00F474B4" w:rsidP="0078016F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заморожень/розморожень,</w:t>
      </w:r>
    </w:p>
    <w:p w14:paraId="58F6B4EF" w14:textId="71D4419A" w:rsidR="00F474B4" w:rsidRPr="00D371E4" w:rsidRDefault="00F474B4" w:rsidP="0078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які була надіслана до спеціально уповноваженого органу (далі - СУО) та щодо яких у звітному періоді отримано від СУО повідомлення про взяття їх на облік, а також щодо отриманих від СУО запитів/рішень/доручень.</w:t>
      </w:r>
    </w:p>
    <w:p w14:paraId="00C0BDBD" w14:textId="572D0BE1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01 “Порогові фінансові операції”, 02 “Підозрілі фінансові операції” довідника F124 зазначаються згруповані за кожним із кодів ознак </w:t>
      </w:r>
      <w:r w:rsidR="00E840C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операцій для фінансового моніторингу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(параметр D050) дані про суму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(метрика T070)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кількість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T080)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операцій, що підлягають фінансовому моніторингу та </w:t>
      </w:r>
      <w:r w:rsidR="00CD68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CD68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фінансових операцій установи, що підлягають фінансовому моніторингу (відповідно до п.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22 додатку 14 Положення)</w:t>
      </w:r>
      <w:r w:rsidR="00244872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299BD6" w14:textId="6D60759B" w:rsidR="00EA349C" w:rsidRPr="00D371E4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інформація про фінансову операцію надіслана до СУО з двома і більше кодами ознаки порогової та/або підозрілої фінансової операції, то відомості про неї зазначаються за кожним із кодів ознак порогової та/або підозрілої фінансової операції.</w:t>
      </w:r>
    </w:p>
    <w:p w14:paraId="38CB356B" w14:textId="01C43DC7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03 “Зупинені установою фінансові операції, у тому числі з метою виконання відповідного рішення або доручення СУО”, 04 “Фінансові операції, щодо яких установою було відмовлено клієнту (особі) у їх здійсненні”, 05 “Спроби проведення фінансових операцій клієнтами та фінансових операцій на користь клієнтів, активи яких були заморожені установою”, 06 “Фінансові операції, щодо яких установа забезпечує заходи з відстеження (моніторингу) на відповідний запит/рішення/доручення” довідника F124 зазначаються дані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суму (метрика T070) і кількість (метрика T080)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операцій, </w:t>
      </w:r>
      <w:r w:rsidR="00CD68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CD68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фінансових операцій установи, що підлягають фінансовому моніторингу (відповідно до п.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22 додатку 14 Положення)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12F5F2" w14:textId="0D7ACBA0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07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підозрілу фінансову діяльність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="00A72E8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орієнтовну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суму </w:t>
      </w:r>
      <w:r w:rsidR="002B588E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підозрілих фінансових операцій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T070) і кількість </w:t>
      </w:r>
      <w:r w:rsidR="002B588E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надісланих до СУО повідомлень про підозрілу фінансову</w:t>
      </w:r>
      <w:r w:rsidR="0032160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588E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діяльність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3E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які внос</w:t>
      </w:r>
      <w:r w:rsidR="00E8499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повідомлень про підозрілу фінансову діяльність (відповідно до п.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25 додатку 14 Положення)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9E1835" w14:textId="1BB4FE63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08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виявлені розбіжності про КБВ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</w:t>
      </w:r>
      <w:r w:rsidR="00E8499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надісланих до СУО повідомлень про виявлені розбіжності</w:t>
      </w:r>
      <w:r w:rsidR="00E840C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D03EC7" w:rsidRPr="00D371E4">
        <w:rPr>
          <w:rFonts w:ascii="Times New Roman" w:hAnsi="Times New Roman" w:cs="Times New Roman"/>
          <w:sz w:val="28"/>
          <w:szCs w:val="28"/>
        </w:rPr>
        <w:t xml:space="preserve">, </w:t>
      </w:r>
      <w:r w:rsidR="00E84994" w:rsidRPr="00D371E4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розбіжностей про КБВ (відповідно до п.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26 додатку 14 Положення)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02AE91" w14:textId="098FDB0F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09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здійснення відмови від встановлення/продовження ділових відносин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</w:t>
      </w:r>
      <w:r w:rsidR="0032160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надісланих до СУО повідомлень щодо здійснених відмов </w:t>
      </w:r>
      <w:r w:rsidR="0032160D" w:rsidRPr="00D371E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встановленні (підтриманні) ділових відносин з клієнтами</w:t>
      </w:r>
      <w:r w:rsidR="0032160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E32E1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відмов (відповідно до п.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28 додатку 14 Положення)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E8AAC1" w14:textId="6ED37FAD" w:rsidR="00F474B4" w:rsidRPr="00D371E4" w:rsidRDefault="00784052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 взаємодії з СУО 10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замороження активів особи та/або організації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11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про розмороження активів особи та/або організації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суму </w:t>
      </w:r>
      <w:r w:rsidR="00943F21" w:rsidRPr="00D371E4">
        <w:rPr>
          <w:rFonts w:ascii="Times New Roman" w:hAnsi="Times New Roman" w:cs="Times New Roman"/>
          <w:sz w:val="28"/>
          <w:szCs w:val="28"/>
        </w:rPr>
        <w:t>заморожених/розморожених активів</w:t>
      </w:r>
      <w:r w:rsidR="00943F21" w:rsidRPr="00D371E4"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(метрика T070) і кількість </w:t>
      </w:r>
      <w:r w:rsidR="00943F21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надісланих </w:t>
      </w:r>
      <w:r w:rsidR="002B588E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СУО </w:t>
      </w:r>
      <w:r w:rsidR="00943F21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повідомлень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(метрика T080)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43F21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внос</w:t>
      </w:r>
      <w:r w:rsidR="00E840C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до реєстру заморожень/розморожень (відповідно до п.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29 додатку 14 Положення)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8CAF73" w14:textId="507A28D1" w:rsidR="00F474B4" w:rsidRPr="00D371E4" w:rsidRDefault="005D5CC7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ознаки взаємодії з СУО 12 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 від СУО запити/рішення/доручення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F124 зазначаються дані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кількість (метрика T080)</w:t>
      </w:r>
      <w:r w:rsidR="00F474B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від СУО запитів/рішень/доручень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95955" w14:textId="2369B000" w:rsidR="00EA349C" w:rsidRPr="00D371E4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A</w:t>
      </w:r>
      <w:r w:rsidRPr="00D371E4">
        <w:rPr>
          <w:rFonts w:ascii="Times New Roman" w:hAnsi="Times New Roman" w:cs="Times New Roman"/>
          <w:sz w:val="28"/>
          <w:szCs w:val="28"/>
        </w:rPr>
        <w:t>2</w:t>
      </w:r>
      <w:r w:rsidRPr="00D371E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371E4">
        <w:rPr>
          <w:rFonts w:ascii="Times New Roman" w:hAnsi="Times New Roman" w:cs="Times New Roman"/>
          <w:sz w:val="28"/>
          <w:szCs w:val="28"/>
        </w:rPr>
        <w:t>031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 загальні обсяги здійснених операцій </w:t>
      </w:r>
      <w:r w:rsidR="00AF05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звітного періоду </w:t>
      </w:r>
      <w:r w:rsidRPr="00D371E4">
        <w:rPr>
          <w:rFonts w:ascii="Times New Roman" w:hAnsi="Times New Roman" w:cs="Times New Roman"/>
          <w:sz w:val="28"/>
          <w:szCs w:val="28"/>
        </w:rPr>
        <w:t>за дорученням та/або на користь клієнтів, які є політично значущими особами, членами їх сімей та особами, пов’язаними з політично значущими особами</w:t>
      </w:r>
      <w:r w:rsidR="0078016F" w:rsidRPr="00D371E4">
        <w:rPr>
          <w:rFonts w:ascii="Times New Roman" w:hAnsi="Times New Roman" w:cs="Times New Roman"/>
          <w:sz w:val="28"/>
          <w:szCs w:val="28"/>
        </w:rPr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кількість зазначених клієнтів, якими здійснювались операції протягом звітного періоду.</w:t>
      </w:r>
    </w:p>
    <w:p w14:paraId="05AC4697" w14:textId="4CA094D6" w:rsidR="00EA349C" w:rsidRPr="00D371E4" w:rsidRDefault="00EA349C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A</w:t>
      </w:r>
      <w:r w:rsidRPr="00D371E4">
        <w:rPr>
          <w:rFonts w:ascii="Times New Roman" w:hAnsi="Times New Roman" w:cs="Times New Roman"/>
          <w:sz w:val="28"/>
          <w:szCs w:val="28"/>
        </w:rPr>
        <w:t>2</w:t>
      </w:r>
      <w:r w:rsidRPr="00D371E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371E4">
        <w:rPr>
          <w:rFonts w:ascii="Times New Roman" w:hAnsi="Times New Roman" w:cs="Times New Roman"/>
          <w:sz w:val="28"/>
          <w:szCs w:val="28"/>
        </w:rPr>
        <w:t>032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інформація про загальні обсяги здійснених операцій</w:t>
      </w:r>
      <w:r w:rsidR="00AF059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hAnsi="Times New Roman" w:cs="Times New Roman"/>
          <w:sz w:val="28"/>
          <w:szCs w:val="28"/>
        </w:rPr>
        <w:t xml:space="preserve">за дорученням та/або на користь клієнтів, ризик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ділових відносин з якими (ризик фінансової операції без встановлення ділових відносин яких) є високим та </w:t>
      </w:r>
      <w:r w:rsidRPr="00D371E4">
        <w:rPr>
          <w:rFonts w:ascii="Times New Roman" w:hAnsi="Times New Roman" w:cs="Times New Roman"/>
          <w:sz w:val="28"/>
          <w:szCs w:val="28"/>
        </w:rPr>
        <w:t>щодо яких суб’єкт первинного фінансового моніторингу зобов’язаний вживати посилені заходи належної перевірки (крім клієнтів,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hAnsi="Times New Roman" w:cs="Times New Roman"/>
          <w:sz w:val="28"/>
          <w:szCs w:val="28"/>
        </w:rPr>
        <w:t xml:space="preserve">які є політично значущими особами, членами їх сімей та особами, пов’язаними з політично значущими особами) 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кількість зазначених клієнтів, якими здійснювались операції протягом звітного періоду.</w:t>
      </w:r>
    </w:p>
    <w:p w14:paraId="6DF49D67" w14:textId="5C47637D" w:rsidR="007278E3" w:rsidRPr="00D371E4" w:rsidRDefault="007278E3" w:rsidP="00780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hAnsi="Times New Roman" w:cs="Times New Roman"/>
          <w:sz w:val="28"/>
          <w:szCs w:val="28"/>
        </w:rPr>
        <w:t>У файлі подаються тільки показники з даними. Нульові значення показників у файлі подавати не потрібно.</w:t>
      </w:r>
    </w:p>
    <w:p w14:paraId="0F9DC913" w14:textId="7938DC3B" w:rsidR="00AF059A" w:rsidRPr="00D371E4" w:rsidRDefault="00AF059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br w:type="page"/>
      </w:r>
    </w:p>
    <w:p w14:paraId="13250E80" w14:textId="77777777" w:rsidR="00710A0C" w:rsidRPr="00D371E4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0FAA088A" w14:textId="77777777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30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взаємодію небанківських установ зі спеціально уповноваженим органом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1646EA" w14:textId="77777777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6AB3C00" w14:textId="77777777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29A04B" w14:textId="1B4132AE" w:rsidR="002C7BE3" w:rsidRPr="00D371E4" w:rsidRDefault="002C7BE3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A7F45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436E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якщо значення параметра F124 (код взаємодії небанківських установ зі спеціально уповноваженим органом) дорівнює “01”, “02” в інших випадках значення параметра повинно дорівнювати “</w:t>
      </w:r>
      <w:r w:rsidR="009436ED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="009436ED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A349C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71F74458" w14:textId="77777777" w:rsidR="00710A0C" w:rsidRPr="00D371E4" w:rsidRDefault="00710A0C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A7F45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взаємодії небанківських установ зі спеціально уповноваженим органом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</w:t>
      </w:r>
      <w:r w:rsidR="0035131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повинно дорівнювати 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05E1C6" w14:textId="19B408CA" w:rsidR="00710A0C" w:rsidRPr="00D371E4" w:rsidRDefault="00710A0C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5131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 щодо яких здійснюється інформаційний обмін.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“11”, в інших випадках значення метрики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D5CC7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</w:t>
      </w:r>
      <w:r w:rsidR="007278E3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дорівнювати “0” (нуль).</w:t>
      </w:r>
    </w:p>
    <w:p w14:paraId="1AB341DF" w14:textId="77777777" w:rsidR="00710A0C" w:rsidRPr="00D371E4" w:rsidRDefault="002C7BE3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5131A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операцій/випадків/повідомлень/ запитів щодо яких здійснюється інформаційний обмін.</w:t>
      </w:r>
    </w:p>
    <w:p w14:paraId="69F2D2CA" w14:textId="77777777" w:rsidR="00EE4754" w:rsidRPr="00D371E4" w:rsidRDefault="00EE4754" w:rsidP="002C7B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8D73DD" w14:textId="77777777" w:rsidR="00710A0C" w:rsidRPr="00D371E4" w:rsidRDefault="00710A0C" w:rsidP="00710A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4A2AF05" w14:textId="0EBC3B64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7BE3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4754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(сума) операцій клієнтів, які належать до політично значущих осіб, членів їх сімей, до осіб, пов</w:t>
      </w:r>
      <w:r w:rsidR="00873376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 w:rsidR="00EE4754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</w:t>
      </w:r>
      <w:r w:rsidR="0031450F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EE4754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політично значущими особами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020FC19" w14:textId="77777777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C744E82" w14:textId="77777777" w:rsidR="00710A0C" w:rsidRPr="00D371E4" w:rsidRDefault="00710A0C" w:rsidP="0071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709173B" w14:textId="77777777" w:rsidR="003A7F45" w:rsidRPr="00D371E4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473D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значення “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42CD0887" w14:textId="77777777" w:rsidR="003A7F45" w:rsidRPr="00D371E4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взаємодії небанківських установ зі спеціально уповноваженим органом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набуває значення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CCF191" w14:textId="08FAF8C9" w:rsidR="003A7F45" w:rsidRPr="00D371E4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349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операцій, здійснених за дорученням та/або на користь клієнтів, які належать до політично значущих осіб, членів їх сімей, до осіб, пов’язаних з політично значущими особами.</w:t>
      </w:r>
    </w:p>
    <w:p w14:paraId="275C2F4E" w14:textId="0BCBBF33" w:rsidR="003A7F45" w:rsidRPr="00D371E4" w:rsidRDefault="003A7F45" w:rsidP="003A7F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349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клієнтів, які належать до політично значущих осіб, членів їх сімей, до осіб, пов’язаних з політично значущими особами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8F7ED5" w14:textId="5D3C39F4" w:rsidR="00710A0C" w:rsidRPr="00D371E4" w:rsidRDefault="00710A0C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881C7B" w14:textId="02B98888" w:rsidR="0078016F" w:rsidRPr="00D371E4" w:rsidRDefault="0078016F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B787D3" w14:textId="77777777" w:rsidR="0078016F" w:rsidRPr="00D371E4" w:rsidRDefault="0078016F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ED38E4" w14:textId="77777777" w:rsidR="00F512A4" w:rsidRPr="00D371E4" w:rsidRDefault="00F512A4" w:rsidP="003A7F4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016D66" w14:textId="77777777" w:rsidR="0035131A" w:rsidRPr="00D371E4" w:rsidRDefault="0035131A" w:rsidP="0035131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3CEA87D" w14:textId="31D0FE6A" w:rsidR="0035131A" w:rsidRPr="00D371E4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032 “</w:t>
      </w:r>
      <w:r w:rsidR="00EE4754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(сума) операцій клієнт</w:t>
      </w:r>
      <w:r w:rsidR="00B473DC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EE4754"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ризик ділових відносин з якими (ризик фінансової операції без встановлення ділових відносин яких) є високим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22935B" w14:textId="77777777" w:rsidR="0035131A" w:rsidRPr="00D371E4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B7C02FE" w14:textId="77777777" w:rsidR="0035131A" w:rsidRPr="00D371E4" w:rsidRDefault="0035131A" w:rsidP="00351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C1AF315" w14:textId="77777777" w:rsidR="00BA0C8A" w:rsidRPr="00D371E4" w:rsidRDefault="00BA0C8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B473D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моніторингу,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“</w:t>
      </w:r>
      <w:r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10EC633E" w14:textId="77777777" w:rsidR="00BA0C8A" w:rsidRPr="00D371E4" w:rsidRDefault="00BA0C8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</w:t>
      </w:r>
      <w:r w:rsidRPr="00D371E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взаємодії небанківських установ зі спеціально уповноваженим органом</w:t>
      </w:r>
      <w:r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набуває значення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371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A8099A" w14:textId="18721AAF" w:rsidR="0035131A" w:rsidRPr="00D371E4" w:rsidRDefault="0035131A" w:rsidP="003513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E4754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349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клієнтів, ризик ділових відносин з якими (ризик фінансової операції без встановлення ділових відносин яких) є високим, щодо яких суб’єкт первинного фінансового моніторингу зобов’язаний вживати посилені заходи належної перевірки.</w:t>
      </w:r>
    </w:p>
    <w:p w14:paraId="64854F1B" w14:textId="1DAE6996" w:rsidR="0035131A" w:rsidRPr="00D371E4" w:rsidRDefault="0035131A" w:rsidP="00BA0C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71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349C" w:rsidRPr="00D371E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клієнтів, ризик ділових відносин з якими (ризик фінансової операції без встановлення ділових відносин яких) є високим, щодо яких суб’єкт первинного фінансового моніторингу зобов’язаний вживати посилені заходи належної перевірки.</w:t>
      </w:r>
    </w:p>
    <w:sectPr w:rsidR="0035131A" w:rsidRPr="00D371E4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AB6CB" w14:textId="77777777" w:rsidR="001A0458" w:rsidRDefault="001A0458">
      <w:pPr>
        <w:spacing w:after="0" w:line="240" w:lineRule="auto"/>
      </w:pPr>
      <w:r>
        <w:separator/>
      </w:r>
    </w:p>
  </w:endnote>
  <w:endnote w:type="continuationSeparator" w:id="0">
    <w:p w14:paraId="0BF2814D" w14:textId="77777777" w:rsidR="001A0458" w:rsidRDefault="001A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B1419" w14:textId="77777777" w:rsidR="001A0458" w:rsidRDefault="001A0458">
      <w:pPr>
        <w:spacing w:after="0" w:line="240" w:lineRule="auto"/>
      </w:pPr>
      <w:r>
        <w:separator/>
      </w:r>
    </w:p>
  </w:footnote>
  <w:footnote w:type="continuationSeparator" w:id="0">
    <w:p w14:paraId="6E4D691D" w14:textId="77777777" w:rsidR="001A0458" w:rsidRDefault="001A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0A009607" w14:textId="021B692B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9229FC">
          <w:rPr>
            <w:rFonts w:ascii="Times New Roman" w:hAnsi="Times New Roman" w:cs="Times New Roman"/>
            <w:noProof/>
            <w:sz w:val="28"/>
          </w:rPr>
          <w:t>4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D2D"/>
    <w:multiLevelType w:val="hybridMultilevel"/>
    <w:tmpl w:val="C75A70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AFA4F26"/>
    <w:multiLevelType w:val="hybridMultilevel"/>
    <w:tmpl w:val="9AD8BEBA"/>
    <w:lvl w:ilvl="0" w:tplc="ECF4F2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BC57D2"/>
    <w:multiLevelType w:val="hybridMultilevel"/>
    <w:tmpl w:val="9874453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74C27BC4"/>
    <w:multiLevelType w:val="hybridMultilevel"/>
    <w:tmpl w:val="B92698F0"/>
    <w:lvl w:ilvl="0" w:tplc="ECF4F2A8">
      <w:start w:val="1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15C4C"/>
    <w:rsid w:val="00022CE7"/>
    <w:rsid w:val="0005370A"/>
    <w:rsid w:val="000A2E3E"/>
    <w:rsid w:val="000A409B"/>
    <w:rsid w:val="000E1CE6"/>
    <w:rsid w:val="00166978"/>
    <w:rsid w:val="00187218"/>
    <w:rsid w:val="00196207"/>
    <w:rsid w:val="001A0458"/>
    <w:rsid w:val="001D3613"/>
    <w:rsid w:val="001E09CE"/>
    <w:rsid w:val="00212CBC"/>
    <w:rsid w:val="002244EC"/>
    <w:rsid w:val="00244872"/>
    <w:rsid w:val="0024654B"/>
    <w:rsid w:val="00247642"/>
    <w:rsid w:val="002B588E"/>
    <w:rsid w:val="002C5B9E"/>
    <w:rsid w:val="002C7BE3"/>
    <w:rsid w:val="002E18F1"/>
    <w:rsid w:val="0031450F"/>
    <w:rsid w:val="0032160D"/>
    <w:rsid w:val="003275C7"/>
    <w:rsid w:val="003343DC"/>
    <w:rsid w:val="003354DE"/>
    <w:rsid w:val="0035131A"/>
    <w:rsid w:val="003753DF"/>
    <w:rsid w:val="00376D7F"/>
    <w:rsid w:val="00377D5B"/>
    <w:rsid w:val="003A0610"/>
    <w:rsid w:val="003A7F45"/>
    <w:rsid w:val="003C1EE7"/>
    <w:rsid w:val="003E300B"/>
    <w:rsid w:val="003F6856"/>
    <w:rsid w:val="004200A7"/>
    <w:rsid w:val="0045547A"/>
    <w:rsid w:val="0047136D"/>
    <w:rsid w:val="004B36B1"/>
    <w:rsid w:val="004B703B"/>
    <w:rsid w:val="004B78CD"/>
    <w:rsid w:val="004C03BC"/>
    <w:rsid w:val="004C6A31"/>
    <w:rsid w:val="004D5517"/>
    <w:rsid w:val="004E1CBB"/>
    <w:rsid w:val="004E32E1"/>
    <w:rsid w:val="005169D0"/>
    <w:rsid w:val="005171EA"/>
    <w:rsid w:val="00530A69"/>
    <w:rsid w:val="00534205"/>
    <w:rsid w:val="00563029"/>
    <w:rsid w:val="005710C4"/>
    <w:rsid w:val="0058776B"/>
    <w:rsid w:val="005B1F61"/>
    <w:rsid w:val="005B79CB"/>
    <w:rsid w:val="005D10F2"/>
    <w:rsid w:val="005D5CC7"/>
    <w:rsid w:val="005F2C4D"/>
    <w:rsid w:val="006C4D2B"/>
    <w:rsid w:val="006E617B"/>
    <w:rsid w:val="00710A0C"/>
    <w:rsid w:val="00714F8E"/>
    <w:rsid w:val="00721446"/>
    <w:rsid w:val="007247DD"/>
    <w:rsid w:val="007278E3"/>
    <w:rsid w:val="0078016F"/>
    <w:rsid w:val="00784052"/>
    <w:rsid w:val="00793045"/>
    <w:rsid w:val="00797985"/>
    <w:rsid w:val="007E0D85"/>
    <w:rsid w:val="008138F8"/>
    <w:rsid w:val="00836328"/>
    <w:rsid w:val="0085681E"/>
    <w:rsid w:val="00872A23"/>
    <w:rsid w:val="00873376"/>
    <w:rsid w:val="0088545B"/>
    <w:rsid w:val="008B4FA6"/>
    <w:rsid w:val="008C0459"/>
    <w:rsid w:val="008D25E4"/>
    <w:rsid w:val="008D41D1"/>
    <w:rsid w:val="009229FC"/>
    <w:rsid w:val="00934DCE"/>
    <w:rsid w:val="009352F2"/>
    <w:rsid w:val="009436ED"/>
    <w:rsid w:val="00943F21"/>
    <w:rsid w:val="009614A7"/>
    <w:rsid w:val="00A1111F"/>
    <w:rsid w:val="00A72E8D"/>
    <w:rsid w:val="00A97523"/>
    <w:rsid w:val="00AA0760"/>
    <w:rsid w:val="00AB1645"/>
    <w:rsid w:val="00AE7944"/>
    <w:rsid w:val="00AF059A"/>
    <w:rsid w:val="00B03792"/>
    <w:rsid w:val="00B473DC"/>
    <w:rsid w:val="00B55B4A"/>
    <w:rsid w:val="00B56958"/>
    <w:rsid w:val="00B70870"/>
    <w:rsid w:val="00B738C7"/>
    <w:rsid w:val="00B77BAC"/>
    <w:rsid w:val="00B843DF"/>
    <w:rsid w:val="00B84F72"/>
    <w:rsid w:val="00B8663D"/>
    <w:rsid w:val="00BA0C8A"/>
    <w:rsid w:val="00BB0C27"/>
    <w:rsid w:val="00BC3EB2"/>
    <w:rsid w:val="00BE2F7C"/>
    <w:rsid w:val="00C23C6D"/>
    <w:rsid w:val="00C273A7"/>
    <w:rsid w:val="00C56489"/>
    <w:rsid w:val="00C70475"/>
    <w:rsid w:val="00C9504B"/>
    <w:rsid w:val="00CA46CE"/>
    <w:rsid w:val="00CC4B24"/>
    <w:rsid w:val="00CD689A"/>
    <w:rsid w:val="00CE2877"/>
    <w:rsid w:val="00CF4FFF"/>
    <w:rsid w:val="00D00E23"/>
    <w:rsid w:val="00D01514"/>
    <w:rsid w:val="00D016D1"/>
    <w:rsid w:val="00D03EC7"/>
    <w:rsid w:val="00D12DAD"/>
    <w:rsid w:val="00D15989"/>
    <w:rsid w:val="00D371E4"/>
    <w:rsid w:val="00D73301"/>
    <w:rsid w:val="00D86DD8"/>
    <w:rsid w:val="00D94786"/>
    <w:rsid w:val="00DA13FC"/>
    <w:rsid w:val="00DD5444"/>
    <w:rsid w:val="00E077A1"/>
    <w:rsid w:val="00E534D8"/>
    <w:rsid w:val="00E840CC"/>
    <w:rsid w:val="00E84994"/>
    <w:rsid w:val="00E85656"/>
    <w:rsid w:val="00E87F3D"/>
    <w:rsid w:val="00EA349C"/>
    <w:rsid w:val="00EA7C30"/>
    <w:rsid w:val="00EE3F3B"/>
    <w:rsid w:val="00EE4754"/>
    <w:rsid w:val="00EF49EF"/>
    <w:rsid w:val="00F23CC9"/>
    <w:rsid w:val="00F26E6F"/>
    <w:rsid w:val="00F46A2F"/>
    <w:rsid w:val="00F474B4"/>
    <w:rsid w:val="00F512A4"/>
    <w:rsid w:val="00F52686"/>
    <w:rsid w:val="00F70B9A"/>
    <w:rsid w:val="00F936EB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B138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8733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376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8733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37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87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AAC6-694F-417C-9267-1D46AAF7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5014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2</cp:revision>
  <cp:lastPrinted>2019-11-19T10:35:00Z</cp:lastPrinted>
  <dcterms:created xsi:type="dcterms:W3CDTF">2021-01-28T23:04:00Z</dcterms:created>
  <dcterms:modified xsi:type="dcterms:W3CDTF">2021-01-28T23:04:00Z</dcterms:modified>
</cp:coreProperties>
</file>