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A0C" w:rsidRPr="00C81901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710A0C" w:rsidRPr="00C81901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A</w:t>
      </w:r>
      <w:r w:rsidRPr="00665E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2L</w:t>
      </w: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001, A</w:t>
      </w:r>
      <w:r w:rsidRPr="00665E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2L</w:t>
      </w: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002,</w:t>
      </w:r>
    </w:p>
    <w:p w:rsidR="00710A0C" w:rsidRPr="00C81901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665E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2L</w:t>
      </w: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 “Дані про обсяги, спосіб та мету переказу для оцінки ризиків у сфері фінансового моніторингу”</w:t>
      </w:r>
    </w:p>
    <w:p w:rsidR="00710A0C" w:rsidRPr="00C81901" w:rsidRDefault="00710A0C" w:rsidP="00710A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10A0C" w:rsidRPr="004B36B1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небанківськими фінансовими установами-резидентами, які отримали </w:t>
      </w:r>
      <w:r w:rsidR="00721446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</w:t>
      </w:r>
      <w:r w:rsidR="0072144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721446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 банку України на переказ коштів та які є платіжними організаціями та/або членами/учасниками платіжних систем (крім операторів поштового зв’язку в частині здійснення ними переказу коштів) про здійснені операції з переказу коштів, які були прийняті</w:t>
      </w:r>
      <w:r w:rsidR="00934D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/</w:t>
      </w:r>
      <w:r w:rsidR="00934DC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готівкою за допомогою платіжних пристроїв та через </w:t>
      </w:r>
      <w:r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пункти </w:t>
      </w:r>
      <w:r w:rsidR="004B36B1" w:rsidRPr="00813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з переказу коштів отримувачам за допомогою веб-сайтів/з використанням електронних платіжних засобів, та/або про здійснені операції у сфері використання електронних грошей.</w:t>
      </w:r>
    </w:p>
    <w:p w:rsidR="00710A0C" w:rsidRPr="004B36B1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0A0C" w:rsidRPr="004B36B1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</w:t>
      </w:r>
      <w:r w:rsidR="00D016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про обсяг (сума):</w:t>
      </w:r>
    </w:p>
    <w:p w:rsidR="00710A0C" w:rsidRPr="004B36B1" w:rsidRDefault="00377D5B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інкасованої готівки </w:t>
      </w:r>
      <w:r w:rsidR="00710A0C" w:rsidRPr="00A97523">
        <w:rPr>
          <w:rFonts w:ascii="Times New Roman" w:eastAsia="Times New Roman" w:hAnsi="Times New Roman" w:cs="Times New Roman"/>
          <w:sz w:val="28"/>
          <w:szCs w:val="28"/>
          <w:lang w:eastAsia="uk-UA"/>
        </w:rPr>
        <w:t>в гривнях</w:t>
      </w:r>
      <w:r w:rsidR="00710A0C"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була прийнята за допомогою платіжних пристроїв та через пункти </w:t>
      </w:r>
      <w:r w:rsidR="004B36B1" w:rsidRPr="00813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та/або за операціями з поповнення електронних пристроїв електронними грошима/розповсюдження електронних грошей;</w:t>
      </w:r>
    </w:p>
    <w:p w:rsidR="00710A0C" w:rsidRDefault="00377D5B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</w:t>
      </w:r>
      <w:r w:rsidR="00934DC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10A0C"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</w:t>
      </w:r>
      <w:r w:rsidR="00934DC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10A0C"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платіжних пристроїв та через пункти </w:t>
      </w:r>
      <w:r w:rsidR="004B36B1" w:rsidRPr="00813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переказу;</w:t>
      </w:r>
    </w:p>
    <w:p w:rsidR="00D016D1" w:rsidRPr="00F26E6F" w:rsidRDefault="00D016D1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виплат</w:t>
      </w:r>
      <w:r w:rsidR="00F26E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26E6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через пункти надання фінансових послуг;</w:t>
      </w:r>
    </w:p>
    <w:p w:rsidR="00710A0C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34D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B36B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прийнятої готівки за операціями</w:t>
      </w:r>
      <w:r w:rsidRPr="001A12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поповнення електронних пристроїв електронними грошима/розповсюдження електронних грошей;</w:t>
      </w:r>
    </w:p>
    <w:p w:rsidR="00710A0C" w:rsidRPr="00C81901" w:rsidRDefault="00377D5B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здійснених переказів в національній валюті України за допомогою веб-сайтів та за допомогою платіжних пристроїв з використанням електронних платіжних засобів, в тому числі </w:t>
      </w:r>
      <w:r w:rsidR="00710A0C"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електронних пристроїв</w:t>
      </w:r>
      <w:r w:rsidR="00710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електронними грошима</w:t>
      </w:r>
      <w:r w:rsidR="00710A0C"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/розповсюдження електронних грошей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A0C" w:rsidRPr="00C81901" w:rsidRDefault="00377D5B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здійснених операцій </w:t>
      </w:r>
      <w:r w:rsidR="00710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обміну електронних грошей на готівкові та безготівкові кошти, 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електронних грошей</w:t>
      </w:r>
      <w:r w:rsidR="00710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здійснення оплати товарів, а також переказу електронних грошей фізичним особам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0A0C" w:rsidRPr="00C81901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здійснені операції з приймання готівки в гривнях для подальшого її переказу, надається на підставі:</w:t>
      </w:r>
    </w:p>
    <w:p w:rsidR="00710A0C" w:rsidRPr="00C81901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договорів з отримувачами, укладених безпосередньо респондентом (постачальником статистичної звітності);</w:t>
      </w:r>
    </w:p>
    <w:p w:rsidR="00710A0C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договорів з отримувачами, укладених, іншими небанківськими фінансовими установами/банками-учасниками цієї платіжної системи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A0C" w:rsidRPr="00C81901" w:rsidRDefault="008138F8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10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даних щодо 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 готівки в гривнях респондентом (постачальником статистичної звітності)</w:t>
      </w:r>
      <w:r w:rsidR="00710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її переказу</w:t>
      </w:r>
      <w:r w:rsidR="00710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довільними реквізитами.</w:t>
      </w:r>
    </w:p>
    <w:p w:rsidR="00710A0C" w:rsidRPr="00C81901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показнику </w:t>
      </w:r>
      <w:r w:rsidR="00D9478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A2L001</w:t>
      </w:r>
      <w:r w:rsidR="00D9478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інформація про загальні обсяги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інкасованої готівки, прийнятої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її переказу на користь отримувачів та/або за операціями з поповнення електронних пристроїв електронними грошима/розповсюдження електронних грошей;</w:t>
      </w:r>
    </w:p>
    <w:p w:rsidR="008138F8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показнику </w:t>
      </w:r>
      <w:r w:rsidR="00D9478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A2L002</w:t>
      </w:r>
      <w:r w:rsidR="00D9478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інформація про</w:t>
      </w:r>
      <w:r w:rsidR="00F26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загальні обсяги здійснених операцій у розрізі кодів призначен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F26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платежу</w:t>
      </w:r>
      <w:r w:rsidR="00AE794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AE7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саме</w:t>
      </w:r>
      <w:r w:rsidR="00813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</w:t>
      </w:r>
    </w:p>
    <w:p w:rsidR="008138F8" w:rsidRDefault="008138F8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 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переказу </w:t>
      </w:r>
      <w:r w:rsidR="00D73301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отримувачів 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були попередньо зібрані готівкою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AE7944" w:rsidRPr="00AE7944" w:rsidRDefault="00AE7944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виплати коштів через пункти надання фінансових послуг;</w:t>
      </w:r>
    </w:p>
    <w:p w:rsidR="008138F8" w:rsidRDefault="008138F8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 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переказу </w:t>
      </w:r>
      <w:r w:rsidR="00D73301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отримувачів 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за допомогою веб-сайтів/з використанням електронних платіжних засобів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8138F8" w:rsidRPr="00AE7944" w:rsidRDefault="008138F8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 </w:t>
      </w:r>
      <w:r w:rsidR="00710A0C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використання електронних грошей</w:t>
      </w:r>
      <w:r w:rsidR="00AE79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0A0C" w:rsidRPr="00C81901" w:rsidRDefault="00710A0C" w:rsidP="0071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не включаються суми комісійних.</w:t>
      </w:r>
    </w:p>
    <w:p w:rsidR="00710A0C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0A0C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0A0C" w:rsidRPr="00C81901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10A0C" w:rsidRPr="00C81901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Pr="00665E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</w:t>
      </w: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“Обсяг (сума) інкасованої готівки,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</w:t>
      </w: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прийнята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допомогою платіжних пристроїв</w:t>
      </w:r>
      <w:r w:rsidRPr="004B3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/пунктів прийому готівки”</w:t>
      </w:r>
    </w:p>
    <w:p w:rsidR="00710A0C" w:rsidRPr="00C81901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0A0C" w:rsidRPr="00C81901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:rsidR="00710A0C" w:rsidRPr="00665E15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прийняття готівки або платежу (довідник F106), набуває значен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0A0C" w:rsidRPr="00665E15" w:rsidRDefault="00710A0C" w:rsidP="00710A0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</w:t>
      </w:r>
      <w:r w:rsidRPr="00665E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призначення платежу, набуває значення 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:rsidR="00710A0C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установи, для якої або якою здійснювалось приймання готівки, зазначається згідно з правилами заповнення K020 (довідник K021 поле 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710A0C" w:rsidRPr="00D53C1E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НРП </w:t>
      </w:r>
      <w:r w:rsidRPr="00D53C1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020_1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зазначається таким чином:</w:t>
      </w:r>
    </w:p>
    <w:p w:rsidR="00710A0C" w:rsidRPr="00D53C1E" w:rsidRDefault="008138F8" w:rsidP="007214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1.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D94786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установа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є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(постачальник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статистичної звітності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безпосередньо уклала договір з отримувачем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та самостійно здійснює</w:t>
      </w:r>
      <w:r w:rsidR="00B866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8663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 готівки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її переказу на користь такого отримувача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9478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4713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та/або </w:t>
      </w:r>
      <w:r w:rsidR="00BE2F7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r w:rsidR="00BE2F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 готівки</w:t>
      </w:r>
      <w:r w:rsidR="00BE2F7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подальшого її переказу </w:t>
      </w:r>
      <w:r w:rsidR="0079798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довільними реквізитами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713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та/або </w:t>
      </w:r>
      <w:r w:rsidR="00BE2F7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r w:rsidR="00BE2F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 готівки</w:t>
      </w:r>
      <w:r w:rsidR="00BE2F7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електронних пристроїв електронними грошима/розповсюдження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36D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713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установи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є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(постачальник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статистичної звітності)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A0C" w:rsidRPr="00D53C1E" w:rsidRDefault="008138F8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2.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85681E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установа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</w:t>
      </w:r>
      <w:r w:rsidR="0047136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(постачальник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статистичної звітності)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уклала безпосередньо договір з отримувачем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та здійснює приймання готівки для подальшого її переказу</w:t>
      </w:r>
      <w:r w:rsidR="00710A0C" w:rsidRPr="00376C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такого отримувача </w:t>
      </w:r>
      <w:r w:rsidR="00AB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такий переказ в подальшому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іншими установам</w:t>
      </w:r>
      <w:r w:rsidR="00AB164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є учасниками цієї платіжної системи – зазначається код тієї установи, для якої здійснювалось приймання готівки;</w:t>
      </w:r>
    </w:p>
    <w:p w:rsidR="00710A0C" w:rsidRPr="00136A85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K020_1.</w:t>
      </w:r>
      <w:r w:rsidRPr="00BF34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“#”.</w:t>
      </w:r>
    </w:p>
    <w:p w:rsidR="00710A0C" w:rsidRDefault="00710A0C" w:rsidP="00710A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hAnsi="Times New Roman" w:cs="Times New Roman"/>
          <w:b/>
          <w:sz w:val="28"/>
          <w:szCs w:val="28"/>
        </w:rPr>
        <w:t>НРП K020_</w:t>
      </w:r>
      <w:r w:rsidR="00BE2F7C">
        <w:rPr>
          <w:rFonts w:ascii="Times New Roman" w:hAnsi="Times New Roman" w:cs="Times New Roman"/>
          <w:b/>
          <w:sz w:val="28"/>
          <w:szCs w:val="28"/>
        </w:rPr>
        <w:t>2</w:t>
      </w:r>
      <w:r w:rsidR="00BE2F7C" w:rsidRPr="00C81901">
        <w:rPr>
          <w:rFonts w:ascii="Times New Roman" w:hAnsi="Times New Roman" w:cs="Times New Roman"/>
          <w:sz w:val="28"/>
          <w:szCs w:val="28"/>
        </w:rPr>
        <w:t xml:space="preserve"> </w:t>
      </w:r>
      <w:r w:rsidRPr="00C81901">
        <w:rPr>
          <w:rFonts w:ascii="Times New Roman" w:hAnsi="Times New Roman" w:cs="Times New Roman"/>
          <w:sz w:val="28"/>
          <w:szCs w:val="28"/>
        </w:rPr>
        <w:t>– код банку, в який інкасовано готівку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була прийнята небанківською фінансовою установою 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(постачальником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статистичної звітності)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переказу та/або за операціями з поповнення електронних пристроїв електронними грошима/розповсюдження електронних грошей </w:t>
      </w:r>
      <w:r w:rsidRPr="00C81901">
        <w:rPr>
          <w:rFonts w:ascii="Times New Roman" w:hAnsi="Times New Roman" w:cs="Times New Roman"/>
          <w:sz w:val="28"/>
          <w:szCs w:val="28"/>
        </w:rPr>
        <w:t>(довідник RCUKRU)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згідно з правилами заповнення K020 (довідник K021 поле 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E2F7C" w:rsidRPr="00C81901" w:rsidRDefault="00BE2F7C" w:rsidP="00710A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поточний рахунок небанківській фінансовій установі [респонденту (постачальнику статистичної звітності)],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:rsidR="00710A0C" w:rsidRPr="00665E15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65E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A2L00</w:t>
      </w:r>
      <w:r w:rsidRPr="00665E15">
        <w:rPr>
          <w:rFonts w:ascii="Times New Roman" w:eastAsia="Times New Roman" w:hAnsi="Times New Roman" w:cs="Times New Roman"/>
          <w:sz w:val="28"/>
          <w:szCs w:val="28"/>
          <w:lang w:eastAsia="uk-UA"/>
        </w:rPr>
        <w:t>1”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710A0C" w:rsidRPr="000D5F17" w:rsidRDefault="00710A0C" w:rsidP="00710A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в банк(и) готівки в гривнях, яка була прийнята для подальшого її переказу отримувачам та/або за операціями з поповнення електронних пристроїв електронними грошима/розповсюдження електронних грошей.</w:t>
      </w:r>
    </w:p>
    <w:p w:rsidR="00710A0C" w:rsidRPr="000D5F17" w:rsidRDefault="00710A0C" w:rsidP="00710A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0A0C" w:rsidRPr="000D5F17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10A0C" w:rsidRPr="000D5F17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A2L002 “Обсяг (сума) здійснених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операцій з </w:t>
      </w:r>
      <w:r w:rsidRPr="000D5F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переказ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0D5F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та у сфері використання електронних грошей</w:t>
      </w:r>
      <w:r w:rsidRPr="000D5F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10A0C" w:rsidRPr="000D5F17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0A0C" w:rsidRPr="000D5F17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:rsidR="00710A0C" w:rsidRPr="000D5F17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10A0C" w:rsidRPr="000D5F17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прийняття готівки або платежу (довідник F106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B79CB" w:rsidRDefault="00710A0C" w:rsidP="00DD54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:rsidR="00DD5444" w:rsidRDefault="003C1EE7" w:rsidP="00DD54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значення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F108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призначення платежу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</w:t>
      </w:r>
      <w:r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</w:t>
      </w:r>
      <w:r w:rsidR="005B79CB" w:rsidRPr="005B79CB">
        <w:rPr>
          <w:rFonts w:ascii="Times New Roman" w:hAnsi="Times New Roman" w:cs="Times New Roman"/>
          <w:sz w:val="28"/>
          <w:szCs w:val="28"/>
        </w:rPr>
        <w:t>код показника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F106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</w:t>
      </w:r>
      <w:r w:rsidR="005B79CB" w:rsidRPr="005B79CB">
        <w:rPr>
          <w:rFonts w:ascii="Times New Roman" w:hAnsi="Times New Roman" w:cs="Times New Roman"/>
          <w:sz w:val="28"/>
          <w:szCs w:val="28"/>
        </w:rPr>
        <w:t>код виду прийняття готівки або платежу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K020_1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</w:t>
      </w:r>
      <w:r w:rsidR="005B79CB" w:rsidRPr="005B79CB">
        <w:rPr>
          <w:rFonts w:ascii="Times New Roman" w:hAnsi="Times New Roman" w:cs="Times New Roman"/>
          <w:sz w:val="28"/>
          <w:szCs w:val="28"/>
        </w:rPr>
        <w:t>код установи, для якої прийнята готівка або якою здійснювалась приймання готівки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K021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</w:t>
      </w:r>
      <w:r w:rsidR="005B79CB" w:rsidRPr="005B79CB">
        <w:rPr>
          <w:rFonts w:ascii="Times New Roman" w:hAnsi="Times New Roman" w:cs="Times New Roman"/>
          <w:sz w:val="28"/>
          <w:szCs w:val="28"/>
        </w:rPr>
        <w:t>код ознаки ідентифікаційного/реєстраційного коду/номеру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K020_2</w:t>
      </w:r>
      <w:r w:rsidR="004554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547A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45547A" w:rsidRPr="005B79CB">
        <w:rPr>
          <w:rFonts w:ascii="Times New Roman" w:hAnsi="Times New Roman" w:cs="Times New Roman"/>
          <w:sz w:val="28"/>
          <w:szCs w:val="28"/>
        </w:rPr>
        <w:t>код банку, в який інкасовано готівку, що була прийнята небанківською фінансовою установою</w:t>
      </w:r>
      <w:r w:rsidR="0045547A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K020_3</w:t>
      </w:r>
      <w:r w:rsidR="005B79CB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4554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547A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45547A" w:rsidRPr="005B79CB">
        <w:rPr>
          <w:rFonts w:ascii="Times New Roman" w:hAnsi="Times New Roman" w:cs="Times New Roman"/>
          <w:sz w:val="28"/>
          <w:szCs w:val="28"/>
        </w:rPr>
        <w:t>код банку в якому відкрито рахунок небанківській фінансовій установі</w:t>
      </w:r>
      <w:r w:rsidR="0045547A"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B79C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дублюватис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я, крім записів, в яких параметр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F108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“12”, “17”, “99”</w:t>
      </w:r>
      <w:r w:rsidR="00E85656">
        <w:rPr>
          <w:rFonts w:ascii="Times New Roman" w:hAnsi="Times New Roman" w:cs="Times New Roman"/>
          <w:sz w:val="28"/>
          <w:szCs w:val="28"/>
        </w:rPr>
        <w:t>.</w:t>
      </w:r>
      <w:r w:rsidR="00DD5444">
        <w:rPr>
          <w:rFonts w:ascii="Times New Roman" w:hAnsi="Times New Roman" w:cs="Times New Roman"/>
          <w:sz w:val="28"/>
          <w:szCs w:val="28"/>
        </w:rPr>
        <w:t xml:space="preserve"> При цьому, за операціями з кодами призначення платежу </w:t>
      </w:r>
      <w:r w:rsidR="00DD5444"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C2445E">
        <w:rPr>
          <w:rFonts w:ascii="Times New Roman" w:hAnsi="Times New Roman" w:cs="Times New Roman"/>
          <w:sz w:val="28"/>
          <w:szCs w:val="28"/>
        </w:rPr>
        <w:t>12</w:t>
      </w:r>
      <w:r w:rsid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DD5444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C2445E">
        <w:rPr>
          <w:rFonts w:ascii="Times New Roman" w:hAnsi="Times New Roman" w:cs="Times New Roman"/>
          <w:sz w:val="28"/>
          <w:szCs w:val="28"/>
        </w:rPr>
        <w:t>17</w:t>
      </w:r>
      <w:r w:rsid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DD5444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C2445E">
        <w:rPr>
          <w:rFonts w:ascii="Times New Roman" w:hAnsi="Times New Roman" w:cs="Times New Roman"/>
          <w:sz w:val="28"/>
          <w:szCs w:val="28"/>
        </w:rPr>
        <w:t>99</w:t>
      </w:r>
      <w:r w:rsidR="005B79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DD54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загальні обсяги операцій </w:t>
      </w:r>
      <w:r w:rsidR="00DD5444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</w:t>
      </w:r>
      <w:r w:rsidR="00DD54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 лотерей, видів онлайн сервісів, мети переказів.</w:t>
      </w:r>
    </w:p>
    <w:p w:rsidR="00BE2F7C" w:rsidRPr="00FE7BFB" w:rsidRDefault="00BE2F7C" w:rsidP="00DD54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отримання електронних грошей (поповнення електронних пристроїв/розповсюдження електронних грошей) за гривню відображається зі значенням “19”, при цьому код виду прийняття готівки або платежу (параметр F106) набуває значення “01” або “02”.</w:t>
      </w:r>
    </w:p>
    <w:p w:rsidR="00710A0C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код призначення платежу (параметр </w:t>
      </w:r>
      <w:r w:rsidRPr="000D5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108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значень “20” або “21”, то код виду прийняття готівки або платежу (параметр F106) не повинен дорівнювати значенням “01” або “02”.</w:t>
      </w:r>
    </w:p>
    <w:p w:rsidR="008B4FA6" w:rsidRPr="00C2445E" w:rsidRDefault="008B4FA6" w:rsidP="008B4FA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</w:t>
      </w:r>
      <w:r w:rsidR="00B55B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</w:t>
      </w:r>
      <w:r w:rsidR="008C045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готівкової виручки </w:t>
      </w:r>
      <w:r w:rsidR="00BE2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переказу на його банківський рахунок </w:t>
      </w:r>
      <w:r w:rsidR="00B55B4A" w:rsidRPr="00D00E23">
        <w:rPr>
          <w:rFonts w:ascii="Times New Roman" w:hAnsi="Times New Roman"/>
          <w:sz w:val="28"/>
          <w:szCs w:val="28"/>
        </w:rPr>
        <w:t xml:space="preserve">із застосуванням платіжних пристроїв та через пункти </w:t>
      </w:r>
      <w:r w:rsidR="003753DF">
        <w:rPr>
          <w:rFonts w:ascii="Times New Roman" w:hAnsi="Times New Roman"/>
          <w:sz w:val="28"/>
          <w:szCs w:val="28"/>
        </w:rPr>
        <w:t>надання фінансових послуг</w:t>
      </w:r>
      <w:r w:rsidR="00BB0C2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належать </w:t>
      </w:r>
      <w:r w:rsidR="00BB0C2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респонденту (постачальнику статистичної звітності)</w:t>
      </w:r>
      <w:r w:rsidR="00BB0C2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правах власності або інших речових правах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про зазначені операції відображається відповідно до </w:t>
      </w:r>
      <w:r w:rsidR="00AB16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суті здійсненої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ц</w:t>
      </w:r>
      <w:r w:rsidR="00AB1645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суб’єкт</w:t>
      </w:r>
      <w:r w:rsidR="008C045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="00B55B4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оплата товарів або за здійснені роботи, надані послуги з відповідним кодом призначення платежу (довідник 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F108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10A0C" w:rsidRPr="000D5F17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установи, для якої </w:t>
      </w:r>
      <w:r w:rsidRPr="00BF34F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якою здійснювалось приймання готівки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її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випадках НРП </w:t>
      </w:r>
      <w:r w:rsidRPr="000D5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020_1 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710A0C" w:rsidRPr="00D53C1E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НРП </w:t>
      </w:r>
      <w:r w:rsidRPr="00D53C1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020_1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зазначається таким чином:</w:t>
      </w:r>
    </w:p>
    <w:p w:rsidR="00710A0C" w:rsidRPr="00D53C1E" w:rsidRDefault="00B8663D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D94786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установа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є респондентом (постачальником статистичної звітності)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безпосередньо уклала договір з отримувачем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та самостійно здійснює приймання готівки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її переказу на користь такого отримувача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713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та/або </w:t>
      </w:r>
      <w:r w:rsidR="00AA0760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приймання готівки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подальшого її переказу </w:t>
      </w:r>
      <w:r w:rsidR="0079798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довільними реквізитами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713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та/або 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 готівки за операціями з поповнення електронних пристроїв електронними грошима/розповсюдження електронних грошей</w:t>
      </w:r>
      <w:r w:rsidR="004713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36D"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установи,</w:t>
      </w:r>
      <w:r w:rsidR="00AA0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є респондентом (постачальником статистичної звітності)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A0C" w:rsidRPr="00D53C1E" w:rsidRDefault="00D01514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2.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94786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D94786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установа</w:t>
      </w:r>
      <w:r w:rsidR="003343DC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є респондентом (постачальником статистичної звітності)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безпосередньо уклала договір з отримувачем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та не здійснює самостійне </w:t>
      </w:r>
      <w:r w:rsidR="003343D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</w:t>
      </w:r>
      <w:r w:rsidR="003343D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готівки для подальшого її переказу на користь такого отримувача і отримує кошти від інших установ, які є учасниками цієї платіжної системи та які здійснили </w:t>
      </w:r>
      <w:r w:rsidR="003343D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</w:t>
      </w:r>
      <w:r w:rsidR="005169D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10A0C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– зазначається код тієї установи, якою здійснювалось приймання готівки.</w:t>
      </w:r>
    </w:p>
    <w:p w:rsidR="00710A0C" w:rsidRPr="00D53C1E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3C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K020_1. Якщо НРП </w:t>
      </w:r>
      <w:r w:rsidRPr="00D53C1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020_1 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заповнене, то супутній параметр </w:t>
      </w:r>
      <w:r w:rsidRPr="00D53C1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 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376C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0A0C" w:rsidRPr="00D53C1E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3C1E">
        <w:rPr>
          <w:rFonts w:ascii="Times New Roman" w:hAnsi="Times New Roman" w:cs="Times New Roman"/>
          <w:b/>
          <w:sz w:val="28"/>
          <w:szCs w:val="28"/>
        </w:rPr>
        <w:t>НРП K020_</w:t>
      </w:r>
      <w:r w:rsidR="003343DC">
        <w:rPr>
          <w:rFonts w:ascii="Times New Roman" w:hAnsi="Times New Roman" w:cs="Times New Roman"/>
          <w:b/>
          <w:sz w:val="28"/>
          <w:szCs w:val="28"/>
        </w:rPr>
        <w:t>2</w:t>
      </w:r>
      <w:r w:rsidR="003343DC" w:rsidRPr="00D53C1E">
        <w:rPr>
          <w:rFonts w:ascii="Times New Roman" w:hAnsi="Times New Roman" w:cs="Times New Roman"/>
          <w:sz w:val="28"/>
          <w:szCs w:val="28"/>
        </w:rPr>
        <w:t xml:space="preserve"> </w:t>
      </w:r>
      <w:r w:rsidRPr="00D53C1E">
        <w:rPr>
          <w:rFonts w:ascii="Times New Roman" w:hAnsi="Times New Roman" w:cs="Times New Roman"/>
          <w:sz w:val="28"/>
          <w:szCs w:val="28"/>
        </w:rPr>
        <w:t>– код банку, в який інкасовано готівку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була прийнята небанківською фінансовою установою [респондентом (постачальником статистичної звітності)] для подальшого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заповнюється.</w:t>
      </w:r>
    </w:p>
    <w:p w:rsidR="003343DC" w:rsidRPr="00D53C1E" w:rsidRDefault="003343DC" w:rsidP="003343D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3C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поточний рахунок небанківській фінансовій установі [респонденту (постачальнику статистичної звітності)], на який зарахована готівка в гривнях, прийнята для подальшого її 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переказу та/або за операціями з поповнення електронних пристроїв електронними грошима/розповсюдження електронних грошей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для показника 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“A2L002”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D00E23" w:rsidRDefault="00710A0C" w:rsidP="00710A0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3C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зазначається інформація про особливість платежу (послуги, товару)</w:t>
      </w:r>
      <w:r w:rsidR="008C04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547A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</w:t>
      </w:r>
      <w:r w:rsidR="0045547A"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</w:t>
      </w:r>
      <w:r w:rsidR="0045547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D53C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лотерей [код призначення платежу (параметр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F108) дорівнює значенню “12”], </w:t>
      </w:r>
      <w:r w:rsidR="00CE2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види 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онлайн-сервісів [код призначення платежу (параметр F108) дорівнює значенню “17”], інформація про інші платежі </w:t>
      </w:r>
      <w:r w:rsidR="004C6A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мети переказу 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>[код призначення платежу (параметр F108) дорівнює значенню “99”].</w:t>
      </w:r>
    </w:p>
    <w:p w:rsidR="00710A0C" w:rsidRPr="005B79CB" w:rsidRDefault="00710A0C" w:rsidP="00710A0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F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0D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переказаних коштів на користь отримувачів та/або загальна сума за операціями з поповнення електронних пристроїв електронними грошима/розповсюдження електронних грошей.</w:t>
      </w:r>
    </w:p>
    <w:sectPr w:rsidR="00710A0C" w:rsidRPr="005B79CB" w:rsidSect="00DF51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38" w:rsidRDefault="00705138">
      <w:pPr>
        <w:spacing w:after="0" w:line="240" w:lineRule="auto"/>
      </w:pPr>
      <w:r>
        <w:separator/>
      </w:r>
    </w:p>
  </w:endnote>
  <w:endnote w:type="continuationSeparator" w:id="0">
    <w:p w:rsidR="00705138" w:rsidRDefault="0070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38" w:rsidRDefault="00705138">
      <w:pPr>
        <w:spacing w:after="0" w:line="240" w:lineRule="auto"/>
      </w:pPr>
      <w:r>
        <w:separator/>
      </w:r>
    </w:p>
  </w:footnote>
  <w:footnote w:type="continuationSeparator" w:id="0">
    <w:p w:rsidR="00705138" w:rsidRDefault="0070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377D5B">
          <w:rPr>
            <w:rFonts w:ascii="Times New Roman" w:hAnsi="Times New Roman" w:cs="Times New Roman"/>
            <w:noProof/>
            <w:sz w:val="28"/>
          </w:rPr>
          <w:t>2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0C"/>
    <w:rsid w:val="00015C4C"/>
    <w:rsid w:val="0005370A"/>
    <w:rsid w:val="000E1CE6"/>
    <w:rsid w:val="00196207"/>
    <w:rsid w:val="001D3613"/>
    <w:rsid w:val="001E09CE"/>
    <w:rsid w:val="00212CBC"/>
    <w:rsid w:val="0024654B"/>
    <w:rsid w:val="002C5B9E"/>
    <w:rsid w:val="003275C7"/>
    <w:rsid w:val="003343DC"/>
    <w:rsid w:val="003354DE"/>
    <w:rsid w:val="003753DF"/>
    <w:rsid w:val="00377D5B"/>
    <w:rsid w:val="003C1EE7"/>
    <w:rsid w:val="003E300B"/>
    <w:rsid w:val="004200A7"/>
    <w:rsid w:val="0045547A"/>
    <w:rsid w:val="0047136D"/>
    <w:rsid w:val="004B36B1"/>
    <w:rsid w:val="004C6A31"/>
    <w:rsid w:val="005169D0"/>
    <w:rsid w:val="005171EA"/>
    <w:rsid w:val="00534205"/>
    <w:rsid w:val="005B79CB"/>
    <w:rsid w:val="006C4D2B"/>
    <w:rsid w:val="006E617B"/>
    <w:rsid w:val="00705138"/>
    <w:rsid w:val="00710A0C"/>
    <w:rsid w:val="00721446"/>
    <w:rsid w:val="00793045"/>
    <w:rsid w:val="00797985"/>
    <w:rsid w:val="008138F8"/>
    <w:rsid w:val="00843080"/>
    <w:rsid w:val="0085681E"/>
    <w:rsid w:val="008B4FA6"/>
    <w:rsid w:val="008C0459"/>
    <w:rsid w:val="008D25E4"/>
    <w:rsid w:val="00934DCE"/>
    <w:rsid w:val="009352F2"/>
    <w:rsid w:val="009614A7"/>
    <w:rsid w:val="00A1111F"/>
    <w:rsid w:val="00A97523"/>
    <w:rsid w:val="00AA0760"/>
    <w:rsid w:val="00AB1645"/>
    <w:rsid w:val="00AE7944"/>
    <w:rsid w:val="00B03792"/>
    <w:rsid w:val="00B55B4A"/>
    <w:rsid w:val="00B56958"/>
    <w:rsid w:val="00B70870"/>
    <w:rsid w:val="00B738C7"/>
    <w:rsid w:val="00B8663D"/>
    <w:rsid w:val="00BB0C27"/>
    <w:rsid w:val="00BE2F7C"/>
    <w:rsid w:val="00C23C6D"/>
    <w:rsid w:val="00C56489"/>
    <w:rsid w:val="00C70475"/>
    <w:rsid w:val="00CA46CE"/>
    <w:rsid w:val="00CC4B24"/>
    <w:rsid w:val="00CE2877"/>
    <w:rsid w:val="00CF4FFF"/>
    <w:rsid w:val="00D00E23"/>
    <w:rsid w:val="00D01514"/>
    <w:rsid w:val="00D016D1"/>
    <w:rsid w:val="00D15989"/>
    <w:rsid w:val="00D73301"/>
    <w:rsid w:val="00D86DD8"/>
    <w:rsid w:val="00D94786"/>
    <w:rsid w:val="00DA13FC"/>
    <w:rsid w:val="00DD5444"/>
    <w:rsid w:val="00E077A1"/>
    <w:rsid w:val="00E534D8"/>
    <w:rsid w:val="00E85656"/>
    <w:rsid w:val="00F23CC9"/>
    <w:rsid w:val="00F26E6F"/>
    <w:rsid w:val="00F936EB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CBB8-D020-46E3-A880-CE82C0D4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Serg</cp:lastModifiedBy>
  <cp:revision>2</cp:revision>
  <cp:lastPrinted>2019-11-19T10:35:00Z</cp:lastPrinted>
  <dcterms:created xsi:type="dcterms:W3CDTF">2020-08-06T15:54:00Z</dcterms:created>
  <dcterms:modified xsi:type="dcterms:W3CDTF">2020-08-06T15:54:00Z</dcterms:modified>
</cp:coreProperties>
</file>