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C12A7" w14:textId="77777777" w:rsid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14:paraId="336D0875" w14:textId="01101902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 A2L001, A2L002,</w:t>
      </w:r>
    </w:p>
    <w:p w14:paraId="78EA476B" w14:textId="37D4C523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2LХ “Дані про обсяги платіжних операцій для оцінки ризиків у сфері фінансового моніторингу”</w:t>
      </w:r>
    </w:p>
    <w:p w14:paraId="2199C24F" w14:textId="3574F081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надається небанківськими надавачами фінансових платіжних послуг, що відповідно до Закону 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“Про платіжні послуги” від 30.06.2021 № 1591-IX отримали право на надання фінансових платіжних послуг, та які є СПФМ, про здійснені у звітному періоді платіжні операції, в тому числі із залученням комерційних агентів.</w:t>
      </w:r>
    </w:p>
    <w:p w14:paraId="22C01749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показників включаються дані про платіжні операції, що ініційовані в межах України в національній валюті, у тому числі  з використанням електронних платіжних засобів (у тому числі їх реквізитів та/або токенізованих карток) (далі – ЕПЗ) та/або платіжні операції з електронними грошима (у тому числі проведені респондентом (постачальником статистичної звітності) в якості комерційного агента з розповсюдження, погашення, обміну електронних грошей).</w:t>
      </w:r>
    </w:p>
    <w:p w14:paraId="3E4A030B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небанківською установою.</w:t>
      </w:r>
    </w:p>
    <w:p w14:paraId="38638753" w14:textId="250D2489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показників включаються дані про обсяг (сума):</w:t>
      </w:r>
    </w:p>
    <w:p w14:paraId="5D4B5C2F" w14:textId="56B3C161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інкасованої готівки в гривнях, яка була прийнята за допомогою платіжних пристроїв та через пункти надання фінансових послуг для виконання платіжних операцій, у тому числі розповсюдження електронних грошей (поповнення електронних гаманців);</w:t>
      </w:r>
    </w:p>
    <w:p w14:paraId="2F1C5988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прийнятої готівки в гривнях за допомогою платіжних пристроїв та через пункти надання фінансових послуг для виконання платіжних операцій</w:t>
      </w:r>
      <w:r w:rsidRPr="00163E7D">
        <w:rPr>
          <w:rFonts w:ascii="Times New Roman" w:hAnsi="Times New Roman" w:cs="Times New Roman"/>
          <w:sz w:val="28"/>
          <w:szCs w:val="28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 за операціями з розповсюдження електронних грошей (поповнення електронних гаманців);</w:t>
      </w:r>
    </w:p>
    <w:p w14:paraId="6DA383CE" w14:textId="0B741AF4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виданої готівки за платіжними операціями отримувачам  через пункти надання фінансових послуг та/або за допомогою платіжних пристроїв;</w:t>
      </w:r>
    </w:p>
    <w:p w14:paraId="0517A77E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здійснених платіжних операцій за допомогою веб-сайтів та за допомогою платіжних пристроїв з використанням ЕПЗ, у тому числі за операціями з розповсюдження електронних грошей (поповнення електронних гаманців);</w:t>
      </w:r>
    </w:p>
    <w:p w14:paraId="34FAC3E1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здійснених операцій з погашення електронних грошей в обмін на готівкові кошти/</w:t>
      </w:r>
      <w:r w:rsidRPr="00163E7D">
        <w:rPr>
          <w:rFonts w:ascii="Times New Roman" w:hAnsi="Times New Roman" w:cs="Times New Roman"/>
          <w:sz w:val="28"/>
          <w:szCs w:val="28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кошти, що перераховуються на рахунки споживача/користувача, використання електронних грошей для здійснення оплати товарів, сплати податків та перерахувань між електронними гаманцями.</w:t>
      </w:r>
    </w:p>
    <w:p w14:paraId="4A7ABC3B" w14:textId="48A1F72B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показнику “A2L001” зазначається інформація про загальні обсяги інкасованої готівки, прийнятої респондентом (постачальником статистичної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звітності)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із залученням комерційних агентів,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виконання платіжних операцій, у тому числі з розповсюдження електронних грошей (поповнення електронних гаманців).</w:t>
      </w:r>
    </w:p>
    <w:p w14:paraId="03B06BE4" w14:textId="77777777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здійснені операції з інкасації прийнятої готівки в гривнях у показнику “A2L001” надається на підставі: </w:t>
      </w:r>
    </w:p>
    <w:p w14:paraId="2227CD91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договорів про приймання платежів, укладених з отримувачами безпосередньо респондентом (постачальником статистичної звітності);</w:t>
      </w:r>
    </w:p>
    <w:p w14:paraId="6C05EEF1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договорів з іншими надавачами фінансових платіжних послуг про приймання платежів на користь отримувачів, з якими укладені договори про надання платіжних послуг цими надавачами фінансових платіжних послуг;</w:t>
      </w:r>
    </w:p>
    <w:p w14:paraId="3AAC8764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даних щодо приймання респондентом (постачальником статистичної звітності) готівки в гривнях для виконання платіжних операцій за довільними реквізитами;</w:t>
      </w:r>
    </w:p>
    <w:p w14:paraId="07D2DA47" w14:textId="77777777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даних щодо приймання респондентом (постачальником статистичної звітності) готівки в гривнях за операціями з розповсюдження електронних грошей (поповнення електронних гаманців). </w:t>
      </w:r>
    </w:p>
    <w:p w14:paraId="3F0C8C31" w14:textId="4F694E8A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показнику “A2L002” зазначається інформація про загальні обсяги здійснених платіжних операцій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із залученням комерційних агентів)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розрізі кодів призначення платежу, а саме: </w:t>
      </w:r>
    </w:p>
    <w:p w14:paraId="5F6B08B1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з виконання платіжних операцій, які були ініційовані  платниками готівкою, у тому числі за платіжними операціями з розповсюдження електронних грошей (поповнення електронних гаманців);</w:t>
      </w:r>
    </w:p>
    <w:p w14:paraId="283966CA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з переказу на користь отримувачів коштів за допомогою веб-сайтів/з використанням ЕПЗ;</w:t>
      </w:r>
    </w:p>
    <w:p w14:paraId="3D2909DB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з видачі сум платіжних операцій отримувачам в готівковій формі через пункти надання фінансових послуг та/або за допомогою платіжних пристроїв;</w:t>
      </w:r>
    </w:p>
    <w:p w14:paraId="6A6BF26B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з виконання платіжних операцій з електронними грошима (з погашення електронних грошей в обмін на готівкові кошти, в обмін на кошти, що перераховуються на рахунки споживача/користувача або на поточний/платіжний рахунок, вказаний споживачем, платіжних операцій з електронними грошима щодо здійснення оплати товарів, сплати податків та перерахувань між електронними гаманцями). </w:t>
      </w:r>
    </w:p>
    <w:p w14:paraId="4A3FE73C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здійснені операції у показнику “A2L002” надається на підставі:</w:t>
      </w:r>
    </w:p>
    <w:p w14:paraId="1096C603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даних щодо виконання платіжних операцій (з грошовими коштами в готівковій та/або безготівковій формі) в гривнях респондентом (постачальником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статистичної звітності) за договорами з отримувачами, укладеними безпосередньо респондентом (постачальником статистичної звітності);</w:t>
      </w:r>
    </w:p>
    <w:p w14:paraId="03371312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даних щодо виконання платіжних операцій (з грошовими коштами в готівковій та/або безготівковій формі) в гривнях іншими надавачами фінансових платіжних послуг для виконання платіжних операцій на користь отримувачів, з якими укладені договори респондентом (постачальником статистичної звітності);</w:t>
      </w:r>
    </w:p>
    <w:p w14:paraId="72E352EE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даних щодо виконання платіжних операцій  (з грошовими коштами в готівковій та/або безготівковій формі) в гривнях респондентом (постачальником статистичної звітності) для виконання платіжних операцій на користь отримувачів, з якими укладені договори іншими надавачами фінансових платіжних послуг;</w:t>
      </w:r>
    </w:p>
    <w:p w14:paraId="15F179EA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даних щодо приймання респондентом (постачальником статистичної звітності) платежів (готівкою і безготівково) в гривнях для виконання платіжних операцій за довільними реквізитами;</w:t>
      </w:r>
    </w:p>
    <w:p w14:paraId="614FA646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“A2L002” не включаються суми комісійних.</w:t>
      </w:r>
    </w:p>
    <w:p w14:paraId="7B3F3AF5" w14:textId="77777777" w:rsidR="009D4C77" w:rsidRPr="00163E7D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3C5B307" w14:textId="77777777" w:rsidR="009D4C77" w:rsidRPr="00163E7D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271EE49" w14:textId="77777777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A2L001 “Обсяг (сума) інкасованої готівки, прийнятої за допомогою платіжних пристроїв/пунктів надання фінансових послуг”</w:t>
      </w:r>
    </w:p>
    <w:p w14:paraId="1B3530F3" w14:textId="77777777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62A3A222" w14:textId="77777777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способу ініціювання платіжних операцій (довідник F106), набуває значення “01”.</w:t>
      </w:r>
    </w:p>
    <w:p w14:paraId="3A8FD39C" w14:textId="77777777" w:rsidR="009D4C77" w:rsidRPr="00163E7D" w:rsidRDefault="009D4C77" w:rsidP="009D4C77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призначення платежу, набуває значення “#”.</w:t>
      </w:r>
    </w:p>
    <w:p w14:paraId="3AB5D8AC" w14:textId="77777777" w:rsidR="009D4C77" w:rsidRPr="00163E7D" w:rsidRDefault="009D4C77" w:rsidP="009D4C77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16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160),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”.</w:t>
      </w:r>
    </w:p>
    <w:p w14:paraId="6D45FF85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K020_1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надавача фінансових платіжних послуг, яким здійснювалось приймання платежів – для показника 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A2L001 не заповнюється.</w:t>
      </w:r>
    </w:p>
    <w:p w14:paraId="316884A2" w14:textId="0307C9AD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реєстраційного коду/номеру, набуває значення “#”.</w:t>
      </w:r>
    </w:p>
    <w:p w14:paraId="11B5034F" w14:textId="644B0FDF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K020_2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банку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RCUKRU)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/національного оператора, небанківського надавача платіжних послуг, в який інкасовано/здано готівку, що була прийнята респондентом (постачальником статистичної звітності)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із залученням комерційних агентів),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виконання платіжних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операцій.</w:t>
      </w:r>
      <w:r w:rsidRPr="00163E7D">
        <w:rPr>
          <w:rFonts w:ascii="Times New Roman" w:hAnsi="Times New Roman" w:cs="Times New Roman"/>
          <w:sz w:val="28"/>
          <w:szCs w:val="28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згідно з правилами заповнення K020 (довідник K021 поле “Пояснення до заповнення K020”).</w:t>
      </w:r>
    </w:p>
    <w:p w14:paraId="2EACD23A" w14:textId="3CE02024" w:rsidR="00391D7B" w:rsidRPr="00163E7D" w:rsidRDefault="00391D7B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готівку, інкасовано/здано до структурного підрозділу банку/національного оператора, небанківського надавача платіжних послуг, зазначається код головного офісу банку/національного оператора, небанківського надавача платіжних послуг.</w:t>
      </w:r>
    </w:p>
    <w:p w14:paraId="62878236" w14:textId="03024AA6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K020_3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банку, в якому відкрито рахунок респонденту (постачальнику статистичної звітності), на який 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зарахован</w:t>
      </w:r>
      <w:r w:rsidR="00391D7B"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кошти, прийняті готівкою (у тому числі із залученням комерційних агентів)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подальшого виконання платіжних операцій (довідник RCUKRU), зазначається згідно з правилами заповнення K020 (довідник K021 поле “Пояснення до заповнення K020”).</w:t>
      </w:r>
    </w:p>
    <w:p w14:paraId="3094D937" w14:textId="511702C5" w:rsidR="009D4C77" w:rsidRPr="00163E7D" w:rsidRDefault="009D4C77" w:rsidP="003905C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K020_4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надавача фінансових платіжних послуг, для якого здійснювалось приймання платежів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для показника </w:t>
      </w:r>
      <w:r w:rsidR="00391D7B"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A2L001 не заповнюється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95DCFBF" w14:textId="24A45B35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K021_4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коду/номеру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значення “#”</w:t>
      </w:r>
      <w:r w:rsidR="003905C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F7B823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примітка, для показника “A2L001” не заповнюється.</w:t>
      </w:r>
    </w:p>
    <w:p w14:paraId="00600A2F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загальна сума інкасованої готівки в гривнях, яка була прийнята для виконання платіжних операцій.</w:t>
      </w:r>
    </w:p>
    <w:p w14:paraId="2D6794D9" w14:textId="77777777" w:rsidR="009D4C77" w:rsidRPr="00163E7D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9C604C5" w14:textId="77777777" w:rsidR="009D4C77" w:rsidRPr="00163E7D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CB205C2" w14:textId="77777777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A2L002 “Обсяг (сума) здійснених платіжних операцій”</w:t>
      </w:r>
    </w:p>
    <w:p w14:paraId="041266C7" w14:textId="77777777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50FD9BC9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способу ініціювання платіжних операцій (довідник F106) може набувати значення “01”, “02”, “03” в залежності від форми ініціювання переказу платником (у готівковій формі - “01”, у безготівковій формі - “02”, за допомогою електронних грошей - “03”).</w:t>
      </w:r>
    </w:p>
    <w:p w14:paraId="2C4E5067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Платіжні операції, що були ініційовані споживачами за допомогою електронних грошей, які були прийняті респондентом (постачальником статистичної звітності) в обмін на кошти, що перераховуються на поточні/платіжні рахунки, вказані споживачами (крім рахунків цих споживачів), мають відображатися як </w:t>
      </w:r>
      <w:r w:rsidRPr="00163E7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дві окремі операції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тобто:</w:t>
      </w:r>
    </w:p>
    <w:p w14:paraId="536F45DA" w14:textId="7F5F39EA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передача споживачами електронних грошей респонденту (постачальнику статистичної звітності) для обміну відображаються з кодом способу ініціювання платіжних операцій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 “03” (довідник F106) і кодом призначення платежу (параметр F108) - “30”;</w:t>
      </w:r>
    </w:p>
    <w:p w14:paraId="5E283A03" w14:textId="6028581F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 перерахування респондентом (постачальником статистичної звітності) коштів, отриманих в обмін на електронні гроші споживачів, на поточний/платіжний рахунок, вказаний споживачем - з кодом способу ініціювання платіжних операцій  (довідник F106) - “02” у розрізі кодів призначення платежу (параметр F108).</w:t>
      </w:r>
    </w:p>
    <w:p w14:paraId="421C9818" w14:textId="77777777" w:rsidR="009D4C77" w:rsidRPr="00163E7D" w:rsidRDefault="009D4C77" w:rsidP="002E36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призначення платежу (довідник F108).</w:t>
      </w:r>
    </w:p>
    <w:p w14:paraId="233FCF1C" w14:textId="77777777" w:rsidR="00AC3FA5" w:rsidRPr="00AC3FA5" w:rsidRDefault="009D4C77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значення параметра F108 (код призначення платежу) в розрізі EKP (</w:t>
      </w:r>
      <w:r w:rsidRPr="00163E7D">
        <w:rPr>
          <w:rFonts w:ascii="Times New Roman" w:hAnsi="Times New Roman" w:cs="Times New Roman"/>
          <w:sz w:val="28"/>
          <w:szCs w:val="28"/>
        </w:rPr>
        <w:t>код показника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), F106 (</w:t>
      </w:r>
      <w:r w:rsidRPr="00163E7D">
        <w:rPr>
          <w:rFonts w:ascii="Times New Roman" w:hAnsi="Times New Roman" w:cs="Times New Roman"/>
          <w:sz w:val="28"/>
          <w:szCs w:val="28"/>
        </w:rPr>
        <w:t>код способу ініціювання платіжних операцій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), K020_1 (код надавача фінансових платіжних послуг, яким здійснювалось приймання платежів), K021_1 (</w:t>
      </w:r>
      <w:r w:rsidRPr="00163E7D">
        <w:rPr>
          <w:rFonts w:ascii="Times New Roman" w:hAnsi="Times New Roman" w:cs="Times New Roman"/>
          <w:sz w:val="28"/>
          <w:szCs w:val="28"/>
        </w:rPr>
        <w:t xml:space="preserve">код ознаки ідентифікаційного/реєстраційного коду/номеру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надавача фінансових платіжних послуг, яким здійснювалось приймання платежів), K020_2 (</w:t>
      </w:r>
      <w:r w:rsidRPr="00163E7D">
        <w:rPr>
          <w:rFonts w:ascii="Times New Roman" w:hAnsi="Times New Roman" w:cs="Times New Roman"/>
          <w:sz w:val="28"/>
          <w:szCs w:val="28"/>
        </w:rPr>
        <w:t>код банку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національного оператора, небанківського надавача платіжних послуг</w:t>
      </w:r>
      <w:r w:rsidRPr="00163E7D">
        <w:rPr>
          <w:rFonts w:ascii="Times New Roman" w:hAnsi="Times New Roman" w:cs="Times New Roman"/>
          <w:sz w:val="28"/>
          <w:szCs w:val="28"/>
        </w:rPr>
        <w:t>, в який інкасовано/здано готівку, що була прийнята респондентом (постачальником статистичної звітності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), K020_3 (</w:t>
      </w:r>
      <w:r w:rsidRPr="00163E7D">
        <w:rPr>
          <w:rFonts w:ascii="Times New Roman" w:hAnsi="Times New Roman" w:cs="Times New Roman"/>
          <w:sz w:val="28"/>
          <w:szCs w:val="28"/>
        </w:rPr>
        <w:t>код банку в якому відкрито рахунок респонденту (постачальнику статистичної звітності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) K020_4 (код надавача фінансових платіжних послуг, для якого здійснювалось приймання платежів), K021_4 (</w:t>
      </w:r>
      <w:r w:rsidRPr="00163E7D">
        <w:rPr>
          <w:rFonts w:ascii="Times New Roman" w:hAnsi="Times New Roman" w:cs="Times New Roman"/>
          <w:sz w:val="28"/>
          <w:szCs w:val="28"/>
        </w:rPr>
        <w:t xml:space="preserve">код ознаки ідентифікаційного/реєстраційного коду/номеру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надавача фінансових платіжних послуг, для якого здійснювалось приймання платежів) не повинно дублюватися, крім записів, в яких параметр F108 дорівнює “12”, “17”, “27”, </w:t>
      </w:r>
      <w:r w:rsidR="00505DD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“32”, “33”, “34”, “35”, “36”, “37”, “38”, “39”, “40”, “41”, “42”, “43”,“44”, “45”, “46”, “47”, “48”, “49”,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“99”</w:t>
      </w:r>
      <w:r w:rsidRPr="00163E7D">
        <w:rPr>
          <w:rFonts w:ascii="Times New Roman" w:hAnsi="Times New Roman" w:cs="Times New Roman"/>
          <w:sz w:val="28"/>
          <w:szCs w:val="28"/>
        </w:rPr>
        <w:t xml:space="preserve">. </w:t>
      </w:r>
      <w:r w:rsidR="00505DDE" w:rsidRPr="00163E7D">
        <w:rPr>
          <w:rFonts w:ascii="Times New Roman" w:hAnsi="Times New Roman" w:cs="Times New Roman"/>
          <w:sz w:val="28"/>
          <w:szCs w:val="28"/>
        </w:rPr>
        <w:t xml:space="preserve">При цьому, за операціями з кодами призначення платежу “12”, “27” зазначаються загальні обсяги операцій у розрізі назв лотерей, за операціями з кодом призначення платежу “17” – загальні обсяги операцій у розрізі  видів онлайн сервісів (з максимально можливою консолідацією), за операціями з кодами призначення платежу “32”, “33”, “34”, “35”, “36”, “37”, “38”, “39”, “40”, “41”, “42”, “43”,“44”, “45”, “46”, “47”, “48”, “49” - загальні обсяги операцій у розрізі найменувань організаторів азартних ігор, за операціями з кодом призначення платежу “99” – загальні обсяги операцій </w:t>
      </w:r>
      <w:r w:rsidR="00AC3FA5" w:rsidRPr="00AC3FA5">
        <w:rPr>
          <w:rFonts w:ascii="Times New Roman" w:hAnsi="Times New Roman" w:cs="Times New Roman"/>
          <w:sz w:val="28"/>
          <w:szCs w:val="28"/>
        </w:rPr>
        <w:t>(для відображення яких у довіднику F108 відсутні інші відповідні коди призначення платежу) у розрізі мети переказів, (з максимально можливою консолідацією).</w:t>
      </w:r>
    </w:p>
    <w:p w14:paraId="027D55CB" w14:textId="3AE0F9EA" w:rsidR="00AC3FA5" w:rsidRDefault="00AC3FA5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A5">
        <w:rPr>
          <w:rFonts w:ascii="Times New Roman" w:hAnsi="Times New Roman" w:cs="Times New Roman"/>
          <w:sz w:val="28"/>
          <w:szCs w:val="28"/>
        </w:rPr>
        <w:t xml:space="preserve">З кодом призначення платежу “17” відображаються платіжні операції з оплати послуг, які постачаються через мережу Інтернет, автоматизовано, за допомогою інформаційних технологій та переважно без втручання людини, у тому числі шляхом встановлення спеціального застосунку або додатка на смартфонах, планшетах, телевізійних приймачах чи інших цифрових пристроях, тобто електронні послуги (крім адміністративних послуг та ігор онлайн, для яких у довіднику F108 передбачено коди “02” та “13” відповідно), наприклад: надання простору для розміщення оголошень у мережі Інтернет; надання доступу до баз даних; надання доступу до аудіовізуальних творів; платформи дистанційного навчання в мережі Інтернет; надання рекламного простору у мережі Інтернет; </w:t>
      </w:r>
      <w:r w:rsidRPr="00AC3FA5">
        <w:rPr>
          <w:rFonts w:ascii="Times New Roman" w:hAnsi="Times New Roman" w:cs="Times New Roman"/>
          <w:sz w:val="28"/>
          <w:szCs w:val="28"/>
        </w:rPr>
        <w:lastRenderedPageBreak/>
        <w:t>постачання програмного забезпечення та оновлень до нього; надання доступу до інформаційних, комерційних, розважальних електронних ресурсів, розміщених на платформах спільного доступу; хмарні послуги тощо.</w:t>
      </w:r>
    </w:p>
    <w:p w14:paraId="1A780031" w14:textId="77777777" w:rsidR="00AC3FA5" w:rsidRPr="00AC3FA5" w:rsidRDefault="00AC3FA5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A5">
        <w:rPr>
          <w:rFonts w:ascii="Times New Roman" w:hAnsi="Times New Roman" w:cs="Times New Roman"/>
          <w:sz w:val="28"/>
          <w:szCs w:val="28"/>
        </w:rPr>
        <w:t>Не підлягають відображенню з кодом “17” (використовується інший відповідний код призначення платежу довідника F108) платежі з метою оплати:</w:t>
      </w:r>
    </w:p>
    <w:p w14:paraId="4E19535B" w14:textId="04380609" w:rsidR="00AC3FA5" w:rsidRPr="00AC3FA5" w:rsidRDefault="00AC3FA5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A5">
        <w:rPr>
          <w:rFonts w:ascii="Times New Roman" w:hAnsi="Times New Roman" w:cs="Times New Roman"/>
          <w:sz w:val="28"/>
          <w:szCs w:val="28"/>
        </w:rPr>
        <w:t>- постачання товарів/послуг, замовлення (бронювання) яких здійснюється через мережу Інтернет, за допомогою мобільних додатків та інших електронних ресурсів, а фактичне постачання здійснюється без використання мережі Інтернет (зокрема, послуги з розміщення, винаймання автомобілів, послуги закладів харчування з постачання продукції, послуги пасажирського транспорту та інші подібні послуги);</w:t>
      </w:r>
    </w:p>
    <w:p w14:paraId="562E1FE5" w14:textId="15480E9D" w:rsidR="00AC3FA5" w:rsidRPr="00AC3FA5" w:rsidRDefault="00AC3FA5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A5">
        <w:rPr>
          <w:rFonts w:ascii="Times New Roman" w:hAnsi="Times New Roman" w:cs="Times New Roman"/>
          <w:sz w:val="28"/>
          <w:szCs w:val="28"/>
        </w:rPr>
        <w:t>-</w:t>
      </w:r>
      <w:r w:rsidRPr="00AC3F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3FA5">
        <w:rPr>
          <w:rFonts w:ascii="Times New Roman" w:hAnsi="Times New Roman" w:cs="Times New Roman"/>
          <w:sz w:val="28"/>
          <w:szCs w:val="28"/>
        </w:rPr>
        <w:t>постачання товарів та/або інших послуг, відмінних від електронних послуг, у складі яких є електронні послуги, у разі якщо вартість електронних послуг включена до загальної вартості таких товарів/послуг;</w:t>
      </w:r>
    </w:p>
    <w:p w14:paraId="546F71C8" w14:textId="606F6CC0" w:rsidR="00AC3FA5" w:rsidRPr="00AC3FA5" w:rsidRDefault="00AC3FA5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A5">
        <w:rPr>
          <w:rFonts w:ascii="Times New Roman" w:hAnsi="Times New Roman" w:cs="Times New Roman"/>
          <w:sz w:val="28"/>
          <w:szCs w:val="28"/>
        </w:rPr>
        <w:t>-</w:t>
      </w:r>
      <w:r w:rsidRPr="00AC3F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3FA5">
        <w:rPr>
          <w:rFonts w:ascii="Times New Roman" w:hAnsi="Times New Roman" w:cs="Times New Roman"/>
          <w:sz w:val="28"/>
          <w:szCs w:val="28"/>
        </w:rPr>
        <w:t>постачання послуг з дистанційного навчання в мережі Інтернет, у разі якщо мережа Інтернет використовується виключно як засіб комунікації між викладачем і слухачем;</w:t>
      </w:r>
    </w:p>
    <w:p w14:paraId="39B4EF8C" w14:textId="41195720" w:rsidR="00AC3FA5" w:rsidRPr="00AC3FA5" w:rsidRDefault="00AC3FA5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A5">
        <w:rPr>
          <w:rFonts w:ascii="Times New Roman" w:hAnsi="Times New Roman" w:cs="Times New Roman"/>
          <w:sz w:val="28"/>
          <w:szCs w:val="28"/>
        </w:rPr>
        <w:t>-</w:t>
      </w:r>
      <w:r w:rsidRPr="00AC3F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3FA5">
        <w:rPr>
          <w:rFonts w:ascii="Times New Roman" w:hAnsi="Times New Roman" w:cs="Times New Roman"/>
          <w:sz w:val="28"/>
          <w:szCs w:val="28"/>
        </w:rPr>
        <w:t>постачання примірників творів у галузі науки, літератури і мистецтва на матеріальних носіях;</w:t>
      </w:r>
    </w:p>
    <w:p w14:paraId="2CEB780D" w14:textId="67AFEC84" w:rsidR="00AC3FA5" w:rsidRPr="00AC3FA5" w:rsidRDefault="00AC3FA5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A5">
        <w:rPr>
          <w:rFonts w:ascii="Times New Roman" w:hAnsi="Times New Roman" w:cs="Times New Roman"/>
          <w:sz w:val="28"/>
          <w:szCs w:val="28"/>
        </w:rPr>
        <w:t>-</w:t>
      </w:r>
      <w:r w:rsidRPr="00AC3F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3FA5">
        <w:rPr>
          <w:rFonts w:ascii="Times New Roman" w:hAnsi="Times New Roman" w:cs="Times New Roman"/>
          <w:sz w:val="28"/>
          <w:szCs w:val="28"/>
        </w:rPr>
        <w:t>надання консультаційних послуг електронною поштою;</w:t>
      </w:r>
    </w:p>
    <w:p w14:paraId="63E06923" w14:textId="0D012563" w:rsidR="00AC3FA5" w:rsidRDefault="00AC3FA5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A5">
        <w:rPr>
          <w:rFonts w:ascii="Times New Roman" w:hAnsi="Times New Roman" w:cs="Times New Roman"/>
          <w:sz w:val="28"/>
          <w:szCs w:val="28"/>
        </w:rPr>
        <w:t>-</w:t>
      </w:r>
      <w:r w:rsidRPr="00AC3F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3FA5">
        <w:rPr>
          <w:rFonts w:ascii="Times New Roman" w:hAnsi="Times New Roman" w:cs="Times New Roman"/>
          <w:sz w:val="28"/>
          <w:szCs w:val="28"/>
        </w:rPr>
        <w:t>надання посл</w:t>
      </w:r>
      <w:r w:rsidR="00572254">
        <w:rPr>
          <w:rFonts w:ascii="Times New Roman" w:hAnsi="Times New Roman" w:cs="Times New Roman"/>
          <w:sz w:val="28"/>
          <w:szCs w:val="28"/>
        </w:rPr>
        <w:t>уг з доступу до мережі Інтернет</w:t>
      </w:r>
      <w:r w:rsidRPr="00AC3FA5">
        <w:rPr>
          <w:rFonts w:ascii="Times New Roman" w:hAnsi="Times New Roman" w:cs="Times New Roman"/>
          <w:sz w:val="28"/>
          <w:szCs w:val="28"/>
        </w:rPr>
        <w:t>.</w:t>
      </w:r>
    </w:p>
    <w:p w14:paraId="4B239F1B" w14:textId="7A46A037" w:rsidR="009D4C77" w:rsidRPr="00163E7D" w:rsidRDefault="009D4C77" w:rsidP="00AC3FA5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розповсюдження електронних грошей (поповнення електронних гаманців) за гривню відображається зі значенням “19”, при цьому код способу ініціювання платіжних операцій (параметр F106) набуває значення “01” або “02”.</w:t>
      </w:r>
    </w:p>
    <w:p w14:paraId="6164DA29" w14:textId="557B8029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код призначення платежу (параметр F108) набуває значень “20” або “21” або “30”, або “52”</w:t>
      </w:r>
      <w:r w:rsidR="00CE1C0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“53”</w:t>
      </w:r>
      <w:r w:rsidR="00CE1C0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“54” або, “55”</w:t>
      </w:r>
      <w:r w:rsidR="007C171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E1C0B" w:rsidRPr="00163E7D">
        <w:rPr>
          <w:rFonts w:ascii="Times New Roman" w:hAnsi="Times New Roman" w:cs="Times New Roman"/>
          <w:sz w:val="28"/>
          <w:szCs w:val="28"/>
        </w:rPr>
        <w:t xml:space="preserve"> </w:t>
      </w:r>
      <w:r w:rsidR="004927D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“58”, або “59”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код способу ініціювання платіжних операцій (параметр F106) не повинен дорівнювати значенням “01” або “02”.</w:t>
      </w:r>
    </w:p>
    <w:p w14:paraId="7512464F" w14:textId="2EAAF759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 здавання </w:t>
      </w:r>
      <w:r w:rsidR="007C171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респондента (постачальника статистичної звітності)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суб’єктом господарювання готівкової виручки (готівки) для виконання платіжних операцій з метою зарахування на рахунок </w:t>
      </w:r>
      <w:r w:rsidR="00253F88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 суб’єкта господарювання,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зазначені операції відображається відповідно до суті здійсненої діяльності цим суб’єктом господарювання, тобто як оплата товарів або за здійснені роботи, надані послуги з відповідним кодом призначення платежу (довідник F108).</w:t>
      </w:r>
    </w:p>
    <w:p w14:paraId="592048B9" w14:textId="746750B1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 здавання </w:t>
      </w:r>
      <w:r w:rsidR="00253F88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респондента (постачальника статистичної звітності)</w:t>
      </w:r>
      <w:r w:rsidR="00253F88"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надавачами платіжних послуг та їх комерційними агентами з приймання </w:t>
      </w:r>
      <w:r w:rsidR="00253F88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готівкової виручки (готівки),</w:t>
      </w:r>
      <w:r w:rsidR="00253F88" w:rsidRPr="00163E7D">
        <w:rPr>
          <w:rFonts w:ascii="Times New Roman" w:hAnsi="Times New Roman" w:cs="Times New Roman"/>
          <w:sz w:val="28"/>
          <w:szCs w:val="28"/>
        </w:rPr>
        <w:t xml:space="preserve"> </w:t>
      </w:r>
      <w:r w:rsidR="00253F88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отриманої через платіжні пристрої та пункти надання фінансових послуг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="00253F88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подальшого виконання платіжних </w:t>
      </w:r>
      <w:r w:rsidR="00253F88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операцій, з метою </w:t>
      </w:r>
      <w:r w:rsidR="003276B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зарахування на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3F88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рахунок/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</w:t>
      </w:r>
      <w:r w:rsidR="004E622A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відкритий/відкриті для обліку коштів, прийнятих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виконання платіжних операцій, інформація про зазначені операції відображається з кодом призначення платежу “57” (довідник F108).</w:t>
      </w:r>
    </w:p>
    <w:p w14:paraId="211CD399" w14:textId="77777777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випадках здійснення операцій з видачі сум платіжних операцій отримувачам в готівковій формі через пункти надання фінансових послуг та за допомогою платіжних пристроїв, інформація про зазначені операції відображається з кодом призначення платежу “28” (довідник F108).</w:t>
      </w:r>
    </w:p>
    <w:p w14:paraId="69EE5C70" w14:textId="05B67EF2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операції з оплати участі (ставок) учасниками для участі у розіграші державної лотереї [у  т. ч. поповнення учасниками рахунків/особистих рахунків  на вебсайті, мобільному додатку, тощо </w:t>
      </w:r>
      <w:r w:rsidR="00505DD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оператора державних лотерей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участі у державних лотереях, що проводяться з використанням мережі Інтернет] відображається з кодом призначення платежу “12” (довідник F108).</w:t>
      </w:r>
    </w:p>
    <w:p w14:paraId="785D2CF2" w14:textId="69065052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операції з повернення коштів, внесених учасниками для участі у розіграші державної лотереї (у т. ч. з рахунків/особистих рахунків учасників на вебсайті, мобільному додатку, тощо </w:t>
      </w:r>
      <w:r w:rsidR="00505DD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оператора державних лотерей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участі у державних лотереях, що проводяться з використанням мережі Інтернет], які не є виграшом, відображається із кодом призначення платежу “60” (довідник F108).</w:t>
      </w:r>
    </w:p>
    <w:p w14:paraId="29922E36" w14:textId="1ADB5BAC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із виплати виграшів учасникам розіграшів державних лотерей відображається із кодом призначення платежу “27” (довідник F108).</w:t>
      </w:r>
    </w:p>
    <w:p w14:paraId="68038F7A" w14:textId="1C16A165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з оплати ставок гравцями для участі в азартних іграх [у  т. ч. поповнення гравцями балансу клієнтських рахунків (придбання електронних грошових замінників в онлайн-системі організатора азартних ігор в обмін на грошові кошти)] відображається з кодами призначення платежу “32”, “33”, “34”, “35”, “36”, “37” (довідник F108).</w:t>
      </w:r>
    </w:p>
    <w:p w14:paraId="6BA42E8F" w14:textId="04D90A74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з повернення коштів, внесених гравцями для участі в азартних іграх (у т. ч. з клієнтських рахунків гравців в онлайн-системі організатора азартних ігор сум грошових коштів, отриманих в обмін на електронні грошові замінники), які не є виграшом, відображається із кодами призначення платежу “38”, “39”, “40”, “41”, “42”, “43” (довідник F108).</w:t>
      </w:r>
    </w:p>
    <w:p w14:paraId="3F8F8F9D" w14:textId="096993B0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із виплати виграшів гравцям азартних ігор відображається із кодами призначення платежу “44”, “45”, “46”, “47”, “48”, “49” (довідник F108).</w:t>
      </w:r>
    </w:p>
    <w:p w14:paraId="4692BD25" w14:textId="208A74FA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Терміни “азартна гра”, “виграш”, “гравець”, “державна лотерея”, “ставка”, “спортивний покер”, “турнір з покеру”, які вживаються в цих правилах та довіднику F108, застосовуються в значеннях, визначених Законом України від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14 липня 2020 року № 768-IX “Про державне регулювання діяльності щодо організації та проведення азартних ігор” та Законом України від 6 вересня 2012 року № 5204-VI “Про державні лотереї в Україні”.</w:t>
      </w:r>
    </w:p>
    <w:p w14:paraId="7AB66585" w14:textId="50BFD148" w:rsidR="00FC536C" w:rsidRDefault="00AC3FA5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FA5">
        <w:rPr>
          <w:rFonts w:ascii="Times New Roman" w:eastAsia="Times New Roman" w:hAnsi="Times New Roman" w:cs="Times New Roman"/>
          <w:sz w:val="28"/>
          <w:szCs w:val="28"/>
        </w:rPr>
        <w:t xml:space="preserve">У випадках повернення респондентом (постачальником статистичної звітності) коштів за ініційованими, але незавершеними таким респондентом платіжними операціями користувачів у випадку відкликання такими користувачами платіжної інструкції до настання моменту безвідкличності платіжної інструкції, у показнику A2L002 має відображатися інформація як про операції з ініціювання користувачами переказів на користь отримувачів, так і про операції з повернення респондентом (постачальником статистичної звітності) коштів користувачам - ініціаторам. При цьому, за операціями з повернення коштів код призначення платежу (параметр F108) - має набувати такого ж значення, з яким ці платежі були ініційовані, в примітці (НРП Q006) обов’язково зазначається інформація про особливість платежу, а в метриці T070 – зазначається </w:t>
      </w:r>
      <w:r w:rsidR="00FC536C" w:rsidRPr="00163E7D">
        <w:rPr>
          <w:rFonts w:ascii="Times New Roman" w:eastAsia="Times New Roman" w:hAnsi="Times New Roman" w:cs="Times New Roman"/>
          <w:sz w:val="28"/>
          <w:szCs w:val="28"/>
          <w:u w:val="single"/>
        </w:rPr>
        <w:t>від’ємне значення</w:t>
      </w:r>
      <w:r w:rsidR="00FC536C" w:rsidRPr="00163E7D">
        <w:rPr>
          <w:rFonts w:ascii="Times New Roman" w:eastAsia="Times New Roman" w:hAnsi="Times New Roman" w:cs="Times New Roman"/>
          <w:sz w:val="28"/>
          <w:szCs w:val="28"/>
        </w:rPr>
        <w:t xml:space="preserve"> загальної суми платежів, що повертаються за відповідним кодом призначення платежу (параметр F108).</w:t>
      </w:r>
    </w:p>
    <w:p w14:paraId="69CC9304" w14:textId="4A03CDEB" w:rsidR="00AC3FA5" w:rsidRPr="00163E7D" w:rsidRDefault="00AC3FA5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3FA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за платіжними рахунками користувачів, відкритими в респондента (постачальника статистичної звітності), а саме зарахування/зняття готівкових коштів на рахунки/з рахунків користувачів, виконання платіжних операцій з рахунків/на рахунки користувачів, відображається у розрізі кодів призначення платежу (довідник F108) та кодів способу ініціювання платіжних операцій (довідник F106) в залежності від мети платежу та форми ініціювання переказу платником/користувачем.</w:t>
      </w:r>
    </w:p>
    <w:p w14:paraId="066F096A" w14:textId="2E1E0952" w:rsidR="009D4C77" w:rsidRPr="00163E7D" w:rsidRDefault="009D4C77" w:rsidP="009D4C77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16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160)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код електронних грошей у випадках, якщо код призначення платежу (параметр F108) набуває значень “19” або “20”</w:t>
      </w:r>
      <w:r w:rsidR="008D583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“21”</w:t>
      </w:r>
      <w:r w:rsidR="008D583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“30”, або “52”</w:t>
      </w:r>
      <w:r w:rsidR="008D583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“53”</w:t>
      </w:r>
      <w:r w:rsidR="008D583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“54”, або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“55”</w:t>
      </w:r>
      <w:r w:rsidR="004129E5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“58”, або “59”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. В інших випадках набуває значення “#”.</w:t>
      </w:r>
    </w:p>
    <w:p w14:paraId="6CC8DA3B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K020_1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надавача фінансових платіжних послуг, яким здійснювалось приймання платежів для виконання платіжної операції, зазначається згідно з правилами заповнення K020 (довідник K021 поле “Пояснення до заповнення K020”). Заповнюється у разі, якщо код способу ініціювання платіжних операцій (параметр F106) набуває значення “01” або “02”, в інших випадках НРП K020_1 не заповнюється.</w:t>
      </w:r>
    </w:p>
    <w:p w14:paraId="70690882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В НРП K020_1 інформація зазначається таким чином:</w:t>
      </w:r>
    </w:p>
    <w:p w14:paraId="087865D5" w14:textId="3A59B4AF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Якщо респондент (постачальник статистичної звітності) здійснює приймання платежів на користь свого клієнта, з яким встановлені договірні відносини на підставі договору про приймання на його користь регулярних платежів, та/або здійснює приймання платежів для виконання платіжних операцій за довільними реквізитами, та/або здійснює приймання платежів за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операціями з розповсюдження електронних грошей (поповнення електронних гаманців) – зазначається код респондента (постач</w:t>
      </w:r>
      <w:r w:rsidR="00505DD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альника статистичної звітності). При цьому, якщо</w:t>
      </w:r>
      <w:r w:rsidR="00505DDE" w:rsidRPr="00163E7D">
        <w:rPr>
          <w:rFonts w:ascii="Times New Roman" w:hAnsi="Times New Roman" w:cs="Times New Roman"/>
          <w:sz w:val="28"/>
          <w:szCs w:val="28"/>
        </w:rPr>
        <w:t xml:space="preserve"> </w:t>
      </w:r>
      <w:r w:rsidR="00505DD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 (постачальник статистичної звітності) здійснює приймання платежів із залученням комерційних агентів, в примітці (НРП Q006) обов’язково зазначається </w:t>
      </w:r>
      <w:r w:rsidR="00AC3FA5" w:rsidRPr="00AC3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щодо </w:t>
      </w:r>
      <w:r w:rsidR="00505DD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цього комерційного агента згідно з Реєстром платіжної інфраструктури, що ведеться Національним банком України відповідно до Закону </w:t>
      </w:r>
      <w:r w:rsid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 “Про платіжні послуги”);</w:t>
      </w:r>
    </w:p>
    <w:p w14:paraId="01AF8D22" w14:textId="57F72931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2. Якщо респондент (постачальник статистичної звітності) уклав договір з отримувачем коштів про приймання на його користь регулярних платежів, але не здійснює самостійне приймання цих платежів, а отримує кошти від іншого надавача фінансових платіжних послуг (або від іншого посередника з проведення платіжних операцій), який здійснив приймання цих платежів за дорученням респондента (постачальника статистичної звітності), – зазначається код зазначеного надавача фінансових платіжних послуг (або іншого посередника з проведення платіжних операцій).</w:t>
      </w:r>
    </w:p>
    <w:p w14:paraId="46C5F997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реєстраційного коду/номеру (довідник K021) та є супутнім параметром до НРП K020_1. Якщо НРП K020_1 не заповнене, то супутній параметр K021_1 набуває значення “#”.</w:t>
      </w:r>
    </w:p>
    <w:p w14:paraId="3404DE17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K020_2 –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банку/національного оператора, небанківського надавача платіжних послуг, в який інкасовано/здано готівку, що була прийнята респондентом (постачальником статистичної звітності) для подальшого виконання платіжних операцій – для показника “A2L002” не заповнюється.</w:t>
      </w:r>
    </w:p>
    <w:p w14:paraId="39C8E6BB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K020_3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банку, в якому відкрито поточний рахунок респонденту (постачальнику статистичної звітності), на який зарахована готівка в гривнях, прийнята для подальшого виконання платіжних операцій – для показника “A2L002” не заповнюється.</w:t>
      </w:r>
    </w:p>
    <w:p w14:paraId="72EB178D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K020_4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надавача фінансових платіжних послуг, для якого здійснювалось приймання платежів для виконання платіжних операцій, зазначається згідно з правилами заповнення K020 (довідник K021 поле “Пояснення до заповнення K020”). Заповнюється у разі, якщо код способу ініціювання платіжних операцій (параметр F106) набуває значення “01” або “02”, в інших випадках НРП K020_4 не заповнюється.</w:t>
      </w:r>
    </w:p>
    <w:p w14:paraId="3FF37010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В НРП K020_4 інформація зазначається таким чином:</w:t>
      </w:r>
    </w:p>
    <w:p w14:paraId="791EE8C1" w14:textId="4F3635C6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Якщо респондент (постачальник статистичної звітності) здійснює приймання платежів на користь свого клієнта, з яким встановлені договірні відносини на підставі договору про приймання на його користь регулярних платежів та/або здійснює приймання платежів для виконання платіжних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операцій за довільними реквізитами, та/або за операціями з розповсюдження електронних грошей (поповнення електронних гаманців) – зазначається код респондента (постачальника статистичної звітності);</w:t>
      </w:r>
    </w:p>
    <w:p w14:paraId="3557F434" w14:textId="657A4FCA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Якщо респондент (постачальник статистичної звітності) не обслуговує отримувача та виконує платіжну операцію за дорученням іншого надавача фінансових платіжних послуг, який обслуговує цього отримувача, або за дорученням іншого посередника з проведення платіжної операції, – зазначається код цього  надавача фінансових платіжних послуг або посередника </w:t>
      </w:r>
      <w:r w:rsid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з проведення платіжної операції;</w:t>
      </w:r>
    </w:p>
    <w:p w14:paraId="77CEA0EC" w14:textId="13CB21D4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респондент (постачальник статистичної звітності) здійснює операції з приймання готівкової виручки (готівки) </w:t>
      </w:r>
      <w:r w:rsidRPr="00163E7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від інших надавачів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платіжних послуг для зарахування на їх рахунки для подальшого виконання платіжних операцій [інформація про які відображається з кодом призначення платежу “57” (довідник F108)] – зазначається код цього надав</w:t>
      </w:r>
      <w:r w:rsid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ача фінансових платіжних послуг;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0B23698" w14:textId="218CB8AB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респондент (постачальник статистичної звітності) здійснює операції з приймання готівкової виручки (готівки) </w:t>
      </w:r>
      <w:r w:rsidRPr="00163E7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від комерційних агентів із приймання готівки інших надавачів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платіжних послуг для зарахування на їх рахунки для подальшого виконання платіжних операцій, [інформація про які відображається з кодом призначення платежу “57” (довідник F108)] – </w:t>
      </w:r>
      <w:r w:rsidRPr="00163E7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зазначається код надавача фінансових платіжних послуг, від агента якого прийнято готівку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в примітці (НРП Q006) обов’язково зазначається </w:t>
      </w:r>
      <w:r w:rsidR="00AC3FA5" w:rsidRPr="00AC3FA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щодо</w:t>
      </w:r>
      <w:r w:rsidRPr="00AC3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цього комерційного агента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Реєстром платіжної інфраструктури, що ведеться Національним банком України відповідно до Закону України </w:t>
      </w:r>
      <w:r w:rsidR="002537E2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платіжні послуги</w:t>
      </w:r>
      <w:r w:rsidR="002537E2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A404EF4" w14:textId="1FADA72C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K021_4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реєстраційного коду/номеру (довідник K021) та є супутнім параметром до НРП K020_4. Якщо НРП K020_4 не заповнене, то супутній параметр K021_4 набуває значення “#”.</w:t>
      </w:r>
    </w:p>
    <w:p w14:paraId="602194DF" w14:textId="77777777" w:rsidR="009D4C77" w:rsidRPr="00163E7D" w:rsidRDefault="009D4C77" w:rsidP="002E3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примітка, зазначається інформація про особливість платежу (послуги, товару).</w:t>
      </w:r>
    </w:p>
    <w:p w14:paraId="03590BA1" w14:textId="6B3EAF2C" w:rsidR="009D4C77" w:rsidRPr="00163E7D" w:rsidRDefault="002E36D9" w:rsidP="009D4C7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Обов’язково зазначається:</w:t>
      </w:r>
    </w:p>
    <w:p w14:paraId="0A1FC016" w14:textId="70D12613" w:rsidR="009D4C77" w:rsidRPr="00AC3FA5" w:rsidRDefault="00163E7D" w:rsidP="009D4C7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9D4C77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 державних лотерей [код призначення платежу (параметр F108) дорівнює значенню “12”, “27”] відповідно до Єдиного реєстру державних лотерей, запроваджених в Україні</w:t>
      </w:r>
      <w:r w:rsidR="00E61C81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61C81" w:rsidRP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1C81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ведеться Уповноваженим органо</w:t>
      </w:r>
      <w:r w:rsidR="00325733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відповідно до Закону України </w:t>
      </w:r>
      <w:r w:rsidR="00325733" w:rsidRP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61C81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державні лотереї в Україні</w:t>
      </w:r>
      <w:r w:rsidR="00325733" w:rsidRP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9D4C77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 операціями з переказу коштів, які здійснюються з метою передоплати за участь у державній лотереї </w:t>
      </w:r>
      <w:r w:rsidR="002537E2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(тобто, для поповнення учасником розіграшів державних лотерей рахунку/особистого рахунку на вебсайті, мобільному додатку, тощо відповідного оператора державних лотерей для участі у державних лотереях, що </w:t>
      </w:r>
      <w:r w:rsidR="002537E2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проводяться з використанням мережі Інтернет) замість найменування державної лотереї </w:t>
      </w:r>
      <w:r w:rsidR="009D4C77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в примітці необхідно зазначити відповідний коментар та вказати найменування оператора державних лотерей, наприклад: “передоплата за участь у державній лотереї, оператор - ТОВ “М.С.Л.”</w:t>
      </w:r>
      <w:r w:rsidR="00AC3FA5" w:rsidRPr="00AC3F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="00AC3FA5" w:rsidRPr="00AC3FA5">
        <w:t xml:space="preserve"> </w:t>
      </w:r>
      <w:r w:rsidR="00AC3FA5" w:rsidRPr="00AC3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респондент (постачальник статистичної звітності) здійснював приймання платежів із залученням комерційного агента, то назва державної лотереї/ коментар про передплату зазначається після інформації щодо цього комерційного агента, приклад: </w:t>
      </w:r>
      <w:r w:rsid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“Агент - ТОВ 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“</w:t>
      </w:r>
      <w:r w:rsid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Найменування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”</w:t>
      </w:r>
      <w:r w:rsidR="00AC3FA5" w:rsidRPr="00AC3FA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(00000000). Передоплата за участь у державній лотереї, оператор - ТОВ “М.С.Л.”;</w:t>
      </w:r>
      <w:r w:rsidR="009D4C77" w:rsidRPr="00AC3FA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</w:p>
    <w:p w14:paraId="7F18BFFD" w14:textId="44892445" w:rsidR="009D4C77" w:rsidRPr="00AC3FA5" w:rsidRDefault="00163E7D" w:rsidP="002E3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9D4C77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види онлайн-сервісів [код призначення платежу (параметр F108) дорівнює значенню “17”]</w:t>
      </w:r>
      <w:r w:rsidR="00AC3FA5" w:rsidRPr="00AC3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респондент (постачальник статистичної звітності) здійснював приймання платежів із залученням комерційного агента, то інформація щодо виду онлайн-сервісу зазначається </w:t>
      </w:r>
      <w:r w:rsidR="00AC3FA5" w:rsidRPr="00AC3FA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після інформації щодо цього комерційного агента, наприклад: “Агент - ТОВ 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AC3FA5" w:rsidRPr="00AC3FA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Найменування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”</w:t>
      </w:r>
      <w:r w:rsidR="00AC3FA5" w:rsidRPr="00AC3FA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(00000000). Розміщення оголошень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”</w:t>
      </w:r>
      <w:r w:rsidR="009D4C77" w:rsidRPr="00AC3FA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</w:t>
      </w:r>
    </w:p>
    <w:p w14:paraId="0738CCEC" w14:textId="339D9061" w:rsidR="00B1486C" w:rsidRDefault="00163E7D" w:rsidP="002E3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AC3FA5" w:rsidRPr="00AC3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щодо організатора азартних ігор [код призначення платежу (параметр F108) дорівнює значенню “32”, “33”, “34”, “35”, “36”, “37”, “38”, “39”, “40”, “41”, “42”, “43”,“44”, “45”, “46”, “47”, “48”, “49”] відповідно до реєстрів організаторів азартних ігор в Україні, що формуються Уповноваженим органом відповідно до Закону України “Про державне регулювання діяльності щодо організації та проведення азартних ігор”, а саме зазначається найменування організатора азартних ігор [організаційно-правова форма господарювання зазначається з урахуванням загальноприйнятої абревіатури (ТОВ, ПрАТ тощо)] та код </w:t>
      </w:r>
      <w:bookmarkStart w:id="0" w:name="_GoBack"/>
      <w:r w:rsidR="00AC3FA5" w:rsidRPr="00AC3FA5">
        <w:rPr>
          <w:rFonts w:ascii="Times New Roman" w:eastAsia="Times New Roman" w:hAnsi="Times New Roman" w:cs="Times New Roman"/>
          <w:sz w:val="28"/>
          <w:szCs w:val="28"/>
          <w:lang w:eastAsia="uk-UA"/>
        </w:rPr>
        <w:t>ЄДРПОУ</w:t>
      </w:r>
      <w:bookmarkEnd w:id="0"/>
      <w:r w:rsidR="00AC3FA5" w:rsidRPr="00AC3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(8 знаків) за таким прикладом: </w:t>
      </w:r>
      <w:r w:rsid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Організатор - ТОВ 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Найменування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”</w:t>
      </w:r>
      <w:r w:rsidR="00AC3FA5" w:rsidRPr="00B1486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(00000000)</w:t>
      </w:r>
      <w:r w:rsidR="00AC3FA5" w:rsidRPr="00AC3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респондент (постачальник статистичної звітності) здійснював приймання платежів із залученням комерційного агента, то інформація щодо організатора азартних ігор зазначається після інформації щодо цього комерційного агента за таким прикладом: </w:t>
      </w:r>
      <w:r w:rsidR="00AC3FA5" w:rsidRPr="00B1486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“Агент - ТОВ 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AC3FA5" w:rsidRPr="00B1486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Найменування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”</w:t>
      </w:r>
      <w:r w:rsidR="00AC3FA5" w:rsidRPr="00B1486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(00000000). Організа</w:t>
      </w:r>
      <w:r w:rsid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тор - ТОВ 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AC3FA5" w:rsidRPr="00B1486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Найменування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”</w:t>
      </w:r>
      <w:r w:rsidR="00AC3FA5" w:rsidRPr="00B1486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(00000000).”</w:t>
      </w:r>
      <w:r w:rsidR="00AC3FA5" w:rsidRPr="00AC3FA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B781F5D" w14:textId="435495DD" w:rsidR="002537E2" w:rsidRPr="00163E7D" w:rsidRDefault="00163E7D" w:rsidP="002E3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1486C" w:rsidRPr="00B1486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щодо найменування комерційного агента із приймання готівки інших надавачів платіжних послуг [код призначення платежу (параметр F108) дорівнює значенню “57”, у випадку коли респондент (постачальник статистичної звітності) здійснює операції з приймання готівкової виручки (готівки) від комерційних агентів із приймання готівки інших надавачів фінансових платіжних послуг для зарахування на їх рахунки для подальшого виконання платіжних операцій], а саме зазначається найменування комерційного агента [організаційно-правова форма господарювання зазначається з урахуванням загальноприйнятої абревіатури (ТОВ, ПрАТ тощо)] та код</w:t>
      </w:r>
      <w:r w:rsidR="00B1486C" w:rsidRPr="00B1486C">
        <w:t xml:space="preserve"> </w:t>
      </w:r>
      <w:r w:rsidR="00B1486C" w:rsidRPr="00B148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ЄДРПОУ (8 знаків) за таким прикладом: </w:t>
      </w:r>
      <w:r w:rsidR="00B1486C" w:rsidRPr="00B1486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“Агент - ТОВ 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B1486C" w:rsidRPr="00B1486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Найменування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”</w:t>
      </w:r>
      <w:r w:rsidR="00B1486C" w:rsidRPr="00B1486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(00000000).”</w:t>
      </w:r>
      <w:r w:rsidR="00B1486C" w:rsidRPr="00B1486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3BEAB20" w14:textId="08B6977B" w:rsidR="00B1486C" w:rsidRPr="00B1486C" w:rsidRDefault="00B1486C" w:rsidP="00B1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486C">
        <w:rPr>
          <w:rFonts w:ascii="Times New Roman" w:eastAsia="Times New Roman" w:hAnsi="Times New Roman" w:cs="Times New Roman"/>
          <w:sz w:val="28"/>
          <w:szCs w:val="28"/>
          <w:lang w:eastAsia="uk-UA"/>
        </w:rPr>
        <w:t>- інформація щодо найменування комерційного агента, із залученням якого респондент (постачальник статистичної звітності) здійснював приймання платежів, а саме зазначається найменування комерційного агента [організаційно-</w:t>
      </w:r>
      <w:r w:rsidRPr="00B1486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правова форма господарювання зазначається з урахуванням загальноприйнятої абревіату</w:t>
      </w:r>
      <w:r w:rsidR="0035075A">
        <w:rPr>
          <w:rFonts w:ascii="Times New Roman" w:eastAsia="Times New Roman" w:hAnsi="Times New Roman" w:cs="Times New Roman"/>
          <w:sz w:val="28"/>
          <w:szCs w:val="28"/>
          <w:lang w:eastAsia="uk-UA"/>
        </w:rPr>
        <w:t>ри (ТОВ, ПрАТ тощо)] та код ЄДР</w:t>
      </w:r>
      <w:r w:rsidRPr="00B148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ПОУ (8 знаків) за таким прикладом: </w:t>
      </w:r>
      <w:r w:rsidRPr="00B1486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“Агент - ТОВ 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B1486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Найменування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”</w:t>
      </w:r>
      <w:r w:rsid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(00000000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).</w:t>
      </w:r>
      <w:r w:rsidRPr="00B1486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”</w:t>
      </w:r>
      <w:r w:rsidRPr="00B1486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4B79B8E" w14:textId="4B4EAA3C" w:rsidR="00B1486C" w:rsidRPr="00B1486C" w:rsidRDefault="00B1486C" w:rsidP="00B1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48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інформація про інші платежі у розрізі мети переказу [код призначення платежу (параметр F108) дорівнює значенню “99”]. Якщо респондент (постачальник статистичної звітності) здійснював приймання платежів із залученням комерційного агента, то інформація щодо мети переказу зазначається після інформації щодо цього комерційного агента, </w:t>
      </w:r>
      <w:r w:rsid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наприклад: “Агент - ТОВ 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B1486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Найменування</w:t>
      </w:r>
      <w:r w:rsidR="00C77C86" w:rsidRPr="00C77C8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”</w:t>
      </w:r>
      <w:r w:rsidRPr="00B1486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(00000000). Послуги охорони.”</w:t>
      </w:r>
      <w:r w:rsidRPr="00B1486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9581C07" w14:textId="77777777" w:rsidR="00B1486C" w:rsidRDefault="00B1486C" w:rsidP="00B1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486C">
        <w:rPr>
          <w:rFonts w:ascii="Times New Roman" w:eastAsia="Times New Roman" w:hAnsi="Times New Roman" w:cs="Times New Roman"/>
          <w:sz w:val="28"/>
          <w:szCs w:val="28"/>
          <w:lang w:eastAsia="uk-UA"/>
        </w:rPr>
        <w:t>- інформація про повернення респондентом (постачальником статистичної звітності) коштів за ініційованими, але не завершеними таким респондентом платіжними операціями користувачів у випадку відкликання такими користувачами платіжної інструкції до настання моменту безвідкличності платіжної інструкції [метрика T070&lt;0], а саме: “Повернення коштів”.</w:t>
      </w:r>
    </w:p>
    <w:p w14:paraId="4A681E7C" w14:textId="77777777" w:rsidR="00B1486C" w:rsidRDefault="00B1486C" w:rsidP="00B1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EF45D8" w14:textId="05528940" w:rsidR="00710A0C" w:rsidRPr="00163E7D" w:rsidRDefault="009D4C77" w:rsidP="00B1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36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загальна сума платіжних операцій.</w:t>
      </w:r>
    </w:p>
    <w:p w14:paraId="27F1892D" w14:textId="42DF2526" w:rsidR="00FC536C" w:rsidRPr="002E36D9" w:rsidRDefault="00B1486C" w:rsidP="00B14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486C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повернення респондентом (постачальником статистичної звітності) за ініційованими, але не завершеними</w:t>
      </w:r>
      <w:r w:rsidRPr="00B1486C">
        <w:t xml:space="preserve"> </w:t>
      </w:r>
      <w:r w:rsidRPr="00B1486C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 респондентом платіжними операціями користувачів у випадку відкликання такими користувачами платіжної інструкції до настання моменту безвідкличності платіжної інструкції [в НРП Q006 повинно бути вказано “Повернення коштів”], зазначається від’ємне значення загальної суми платежів що повертаються.</w:t>
      </w:r>
    </w:p>
    <w:sectPr w:rsidR="00FC536C" w:rsidRPr="002E36D9" w:rsidSect="00DF51B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F8E4B" w14:textId="77777777" w:rsidR="0070723A" w:rsidRDefault="0070723A">
      <w:pPr>
        <w:spacing w:after="0" w:line="240" w:lineRule="auto"/>
      </w:pPr>
      <w:r>
        <w:separator/>
      </w:r>
    </w:p>
  </w:endnote>
  <w:endnote w:type="continuationSeparator" w:id="0">
    <w:p w14:paraId="2B51D8A9" w14:textId="77777777" w:rsidR="0070723A" w:rsidRDefault="0070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77B8" w14:textId="77777777" w:rsidR="0070723A" w:rsidRDefault="0070723A">
      <w:pPr>
        <w:spacing w:after="0" w:line="240" w:lineRule="auto"/>
      </w:pPr>
      <w:r>
        <w:separator/>
      </w:r>
    </w:p>
  </w:footnote>
  <w:footnote w:type="continuationSeparator" w:id="0">
    <w:p w14:paraId="38FF2950" w14:textId="77777777" w:rsidR="0070723A" w:rsidRDefault="0070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481314168"/>
      <w:docPartObj>
        <w:docPartGallery w:val="Page Numbers (Top of Page)"/>
        <w:docPartUnique/>
      </w:docPartObj>
    </w:sdtPr>
    <w:sdtEndPr/>
    <w:sdtContent>
      <w:p w14:paraId="451E6539" w14:textId="6DF4379C" w:rsidR="0026753E" w:rsidRPr="005B79CB" w:rsidRDefault="00C5648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B79CB">
          <w:rPr>
            <w:rFonts w:ascii="Times New Roman" w:hAnsi="Times New Roman" w:cs="Times New Roman"/>
            <w:sz w:val="28"/>
          </w:rPr>
          <w:fldChar w:fldCharType="begin"/>
        </w:r>
        <w:r w:rsidRPr="005B79CB">
          <w:rPr>
            <w:rFonts w:ascii="Times New Roman" w:hAnsi="Times New Roman" w:cs="Times New Roman"/>
            <w:sz w:val="28"/>
          </w:rPr>
          <w:instrText>PAGE   \* MERGEFORMAT</w:instrText>
        </w:r>
        <w:r w:rsidRPr="005B79CB">
          <w:rPr>
            <w:rFonts w:ascii="Times New Roman" w:hAnsi="Times New Roman" w:cs="Times New Roman"/>
            <w:sz w:val="28"/>
          </w:rPr>
          <w:fldChar w:fldCharType="separate"/>
        </w:r>
        <w:r w:rsidR="00377D73">
          <w:rPr>
            <w:rFonts w:ascii="Times New Roman" w:hAnsi="Times New Roman" w:cs="Times New Roman"/>
            <w:noProof/>
            <w:sz w:val="28"/>
          </w:rPr>
          <w:t>12</w:t>
        </w:r>
        <w:r w:rsidRPr="005B79C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A170E"/>
    <w:multiLevelType w:val="hybridMultilevel"/>
    <w:tmpl w:val="8BB4065C"/>
    <w:lvl w:ilvl="0" w:tplc="2AFED6F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0C"/>
    <w:rsid w:val="000057C8"/>
    <w:rsid w:val="00015C4C"/>
    <w:rsid w:val="000429C7"/>
    <w:rsid w:val="00045114"/>
    <w:rsid w:val="0005370A"/>
    <w:rsid w:val="00096EA1"/>
    <w:rsid w:val="000A133A"/>
    <w:rsid w:val="000B5E8A"/>
    <w:rsid w:val="000D1B94"/>
    <w:rsid w:val="000D3C77"/>
    <w:rsid w:val="000E1CE6"/>
    <w:rsid w:val="001278BB"/>
    <w:rsid w:val="00157CF5"/>
    <w:rsid w:val="00163E7D"/>
    <w:rsid w:val="00196207"/>
    <w:rsid w:val="001A5CB9"/>
    <w:rsid w:val="001C7CB2"/>
    <w:rsid w:val="001D2E08"/>
    <w:rsid w:val="001D3613"/>
    <w:rsid w:val="001E09CE"/>
    <w:rsid w:val="001E0E3D"/>
    <w:rsid w:val="00211B93"/>
    <w:rsid w:val="00212CBC"/>
    <w:rsid w:val="0024654B"/>
    <w:rsid w:val="002537E2"/>
    <w:rsid w:val="00253F88"/>
    <w:rsid w:val="002A05AC"/>
    <w:rsid w:val="002C5B9E"/>
    <w:rsid w:val="002D03F0"/>
    <w:rsid w:val="002D0918"/>
    <w:rsid w:val="002D0B3E"/>
    <w:rsid w:val="002E1BFC"/>
    <w:rsid w:val="002E36D9"/>
    <w:rsid w:val="002F3663"/>
    <w:rsid w:val="003106BA"/>
    <w:rsid w:val="00325733"/>
    <w:rsid w:val="003275C7"/>
    <w:rsid w:val="003276BB"/>
    <w:rsid w:val="003343DC"/>
    <w:rsid w:val="003354DE"/>
    <w:rsid w:val="0035075A"/>
    <w:rsid w:val="003753DF"/>
    <w:rsid w:val="00376CA0"/>
    <w:rsid w:val="00377D5B"/>
    <w:rsid w:val="00377D73"/>
    <w:rsid w:val="003905C9"/>
    <w:rsid w:val="00391D7B"/>
    <w:rsid w:val="00392DE1"/>
    <w:rsid w:val="003C1EE7"/>
    <w:rsid w:val="003E300B"/>
    <w:rsid w:val="00403B99"/>
    <w:rsid w:val="00404351"/>
    <w:rsid w:val="004129E5"/>
    <w:rsid w:val="004200A7"/>
    <w:rsid w:val="004333B1"/>
    <w:rsid w:val="0045547A"/>
    <w:rsid w:val="0047136D"/>
    <w:rsid w:val="004927D9"/>
    <w:rsid w:val="004974E6"/>
    <w:rsid w:val="00497887"/>
    <w:rsid w:val="004A6C3F"/>
    <w:rsid w:val="004B36B1"/>
    <w:rsid w:val="004C6A31"/>
    <w:rsid w:val="004C7490"/>
    <w:rsid w:val="004E486E"/>
    <w:rsid w:val="004E622A"/>
    <w:rsid w:val="00505DDE"/>
    <w:rsid w:val="00507500"/>
    <w:rsid w:val="005169D0"/>
    <w:rsid w:val="005171EA"/>
    <w:rsid w:val="00520F6E"/>
    <w:rsid w:val="00534205"/>
    <w:rsid w:val="00553C5D"/>
    <w:rsid w:val="0056020D"/>
    <w:rsid w:val="00560B0A"/>
    <w:rsid w:val="005615B7"/>
    <w:rsid w:val="00567407"/>
    <w:rsid w:val="00572254"/>
    <w:rsid w:val="00585C4A"/>
    <w:rsid w:val="005B79CB"/>
    <w:rsid w:val="005C0364"/>
    <w:rsid w:val="005C28FF"/>
    <w:rsid w:val="005E76AE"/>
    <w:rsid w:val="00621F84"/>
    <w:rsid w:val="00654899"/>
    <w:rsid w:val="006743CC"/>
    <w:rsid w:val="00683A70"/>
    <w:rsid w:val="006A059B"/>
    <w:rsid w:val="006A1BFF"/>
    <w:rsid w:val="006A1C7D"/>
    <w:rsid w:val="006C41A1"/>
    <w:rsid w:val="006C4D2B"/>
    <w:rsid w:val="006E617B"/>
    <w:rsid w:val="0070723A"/>
    <w:rsid w:val="00710A0C"/>
    <w:rsid w:val="0071473F"/>
    <w:rsid w:val="00714D2C"/>
    <w:rsid w:val="00721446"/>
    <w:rsid w:val="007237AC"/>
    <w:rsid w:val="00771836"/>
    <w:rsid w:val="00793045"/>
    <w:rsid w:val="00797985"/>
    <w:rsid w:val="007B23B8"/>
    <w:rsid w:val="007B4AC5"/>
    <w:rsid w:val="007C171E"/>
    <w:rsid w:val="0080183E"/>
    <w:rsid w:val="008138F8"/>
    <w:rsid w:val="00833201"/>
    <w:rsid w:val="00843A40"/>
    <w:rsid w:val="008528CD"/>
    <w:rsid w:val="0085681E"/>
    <w:rsid w:val="0088150E"/>
    <w:rsid w:val="00886E59"/>
    <w:rsid w:val="008B1EA2"/>
    <w:rsid w:val="008B4FA6"/>
    <w:rsid w:val="008B64C5"/>
    <w:rsid w:val="008C0459"/>
    <w:rsid w:val="008D25E4"/>
    <w:rsid w:val="008D5839"/>
    <w:rsid w:val="008E0B56"/>
    <w:rsid w:val="008F4773"/>
    <w:rsid w:val="00901035"/>
    <w:rsid w:val="00902C44"/>
    <w:rsid w:val="00904E9A"/>
    <w:rsid w:val="0091775C"/>
    <w:rsid w:val="00934DCE"/>
    <w:rsid w:val="009352F2"/>
    <w:rsid w:val="0094360F"/>
    <w:rsid w:val="009546E6"/>
    <w:rsid w:val="009614A7"/>
    <w:rsid w:val="009663C4"/>
    <w:rsid w:val="00975177"/>
    <w:rsid w:val="009A26D8"/>
    <w:rsid w:val="009C379E"/>
    <w:rsid w:val="009C58DF"/>
    <w:rsid w:val="009D4C77"/>
    <w:rsid w:val="009D7391"/>
    <w:rsid w:val="009F7B25"/>
    <w:rsid w:val="00A1111F"/>
    <w:rsid w:val="00A1491D"/>
    <w:rsid w:val="00A26463"/>
    <w:rsid w:val="00A35B12"/>
    <w:rsid w:val="00A416F2"/>
    <w:rsid w:val="00A97523"/>
    <w:rsid w:val="00AA0760"/>
    <w:rsid w:val="00AB1645"/>
    <w:rsid w:val="00AC3FA5"/>
    <w:rsid w:val="00AE5535"/>
    <w:rsid w:val="00AE7944"/>
    <w:rsid w:val="00B03792"/>
    <w:rsid w:val="00B1486C"/>
    <w:rsid w:val="00B55B4A"/>
    <w:rsid w:val="00B56958"/>
    <w:rsid w:val="00B70870"/>
    <w:rsid w:val="00B738C7"/>
    <w:rsid w:val="00B75602"/>
    <w:rsid w:val="00B8663D"/>
    <w:rsid w:val="00BA69E0"/>
    <w:rsid w:val="00BB0C27"/>
    <w:rsid w:val="00BE2F7C"/>
    <w:rsid w:val="00BE7D0B"/>
    <w:rsid w:val="00C23C6D"/>
    <w:rsid w:val="00C42101"/>
    <w:rsid w:val="00C56489"/>
    <w:rsid w:val="00C70475"/>
    <w:rsid w:val="00C77C86"/>
    <w:rsid w:val="00CA46CE"/>
    <w:rsid w:val="00CB0E8F"/>
    <w:rsid w:val="00CB493C"/>
    <w:rsid w:val="00CB5606"/>
    <w:rsid w:val="00CC4B24"/>
    <w:rsid w:val="00CE1C0B"/>
    <w:rsid w:val="00CE2877"/>
    <w:rsid w:val="00CF4B33"/>
    <w:rsid w:val="00CF4FFF"/>
    <w:rsid w:val="00D00E23"/>
    <w:rsid w:val="00D01514"/>
    <w:rsid w:val="00D016D1"/>
    <w:rsid w:val="00D15989"/>
    <w:rsid w:val="00D3088A"/>
    <w:rsid w:val="00D73301"/>
    <w:rsid w:val="00D86DD8"/>
    <w:rsid w:val="00D90811"/>
    <w:rsid w:val="00D94786"/>
    <w:rsid w:val="00DA13FC"/>
    <w:rsid w:val="00DD5444"/>
    <w:rsid w:val="00E077A1"/>
    <w:rsid w:val="00E21718"/>
    <w:rsid w:val="00E33B7D"/>
    <w:rsid w:val="00E34BA5"/>
    <w:rsid w:val="00E43D9B"/>
    <w:rsid w:val="00E534D8"/>
    <w:rsid w:val="00E56C29"/>
    <w:rsid w:val="00E61C81"/>
    <w:rsid w:val="00E73160"/>
    <w:rsid w:val="00E85656"/>
    <w:rsid w:val="00E87049"/>
    <w:rsid w:val="00EC1EED"/>
    <w:rsid w:val="00F23CC9"/>
    <w:rsid w:val="00F26E6F"/>
    <w:rsid w:val="00F5055F"/>
    <w:rsid w:val="00F64DD6"/>
    <w:rsid w:val="00F91B7E"/>
    <w:rsid w:val="00F936EB"/>
    <w:rsid w:val="00F979E9"/>
    <w:rsid w:val="00FA1F84"/>
    <w:rsid w:val="00FB5645"/>
    <w:rsid w:val="00FC536C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3CD4"/>
  <w15:chartTrackingRefBased/>
  <w15:docId w15:val="{E716B8B1-EB39-44CE-8689-312B1374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10A0C"/>
  </w:style>
  <w:style w:type="paragraph" w:styleId="a6">
    <w:name w:val="Balloon Text"/>
    <w:basedOn w:val="a"/>
    <w:link w:val="a7"/>
    <w:uiPriority w:val="99"/>
    <w:semiHidden/>
    <w:unhideWhenUsed/>
    <w:rsid w:val="0081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38F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0E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0E23"/>
  </w:style>
  <w:style w:type="character" w:styleId="aa">
    <w:name w:val="annotation reference"/>
    <w:basedOn w:val="a0"/>
    <w:uiPriority w:val="99"/>
    <w:semiHidden/>
    <w:unhideWhenUsed/>
    <w:rsid w:val="00A2646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26463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A2646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2646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A264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B5F1C-1B66-4F18-A82E-1BFFE368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18271</Words>
  <Characters>10415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Гладій Марина Євгеніївна</cp:lastModifiedBy>
  <cp:revision>5</cp:revision>
  <cp:lastPrinted>2019-11-19T10:35:00Z</cp:lastPrinted>
  <dcterms:created xsi:type="dcterms:W3CDTF">2024-11-21T09:34:00Z</dcterms:created>
  <dcterms:modified xsi:type="dcterms:W3CDTF">2024-11-28T09:58:00Z</dcterms:modified>
</cp:coreProperties>
</file>