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77777777"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14:paraId="0B804D00" w14:textId="2D5B9185" w:rsidR="00CD0CB1" w:rsidRPr="00B6195E" w:rsidRDefault="00CD0CB1" w:rsidP="00311748">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5416AA01" w14:textId="30A9921E"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14:paraId="0484BA44" w14:textId="77777777"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10" w:type="dxa"/>
        <w:tblInd w:w="-998" w:type="dxa"/>
        <w:tblLook w:val="04A0" w:firstRow="1" w:lastRow="0" w:firstColumn="1" w:lastColumn="0" w:noHBand="0" w:noVBand="1"/>
      </w:tblPr>
      <w:tblGrid>
        <w:gridCol w:w="576"/>
        <w:gridCol w:w="2138"/>
        <w:gridCol w:w="1285"/>
        <w:gridCol w:w="1658"/>
        <w:gridCol w:w="17"/>
        <w:gridCol w:w="14"/>
        <w:gridCol w:w="10"/>
        <w:gridCol w:w="8"/>
        <w:gridCol w:w="15"/>
        <w:gridCol w:w="19"/>
        <w:gridCol w:w="11"/>
        <w:gridCol w:w="9"/>
        <w:gridCol w:w="8"/>
        <w:gridCol w:w="9"/>
        <w:gridCol w:w="7"/>
        <w:gridCol w:w="270"/>
        <w:gridCol w:w="42"/>
        <w:gridCol w:w="142"/>
        <w:gridCol w:w="60"/>
        <w:gridCol w:w="173"/>
        <w:gridCol w:w="334"/>
        <w:gridCol w:w="62"/>
        <w:gridCol w:w="4243"/>
      </w:tblGrid>
      <w:tr w:rsidR="00B449A3" w14:paraId="72C8190D" w14:textId="77777777" w:rsidTr="00771C48">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11" w:type="dxa"/>
            <w:gridSpan w:val="20"/>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771C48">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11" w:type="dxa"/>
            <w:gridSpan w:val="20"/>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0E7FB1">
              <w:rPr>
                <w:rFonts w:ascii="Times New Roman" w:hAnsi="Times New Roman"/>
                <w:b/>
                <w:sz w:val="24"/>
                <w:szCs w:val="24"/>
                <w:lang w:eastAsia="uk-UA"/>
              </w:rPr>
              <w:t>LCRвв</w:t>
            </w:r>
            <w:proofErr w:type="spellEnd"/>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771C48">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11" w:type="dxa"/>
            <w:gridSpan w:val="20"/>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771C48">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11" w:type="dxa"/>
            <w:gridSpan w:val="20"/>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771C48">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11" w:type="dxa"/>
            <w:gridSpan w:val="20"/>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771C48">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11" w:type="dxa"/>
            <w:gridSpan w:val="20"/>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771C48">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11" w:type="dxa"/>
            <w:gridSpan w:val="20"/>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7777777"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14:paraId="5F968ACC" w14:textId="77777777" w:rsidTr="00771C48">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11" w:type="dxa"/>
            <w:gridSpan w:val="20"/>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771C48">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11" w:type="dxa"/>
            <w:gridSpan w:val="20"/>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07C86D1B"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14:paraId="2F0E604E"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323E90" w14:paraId="57C2EEB3" w14:textId="77777777" w:rsidTr="00771C48">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11" w:type="dxa"/>
            <w:gridSpan w:val="20"/>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4652B6">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4652B6">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4652B6">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4652B6">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4652B6">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4652B6">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4652B6">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436" w:type="dxa"/>
            <w:gridSpan w:val="18"/>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771C48">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11" w:type="dxa"/>
            <w:gridSpan w:val="20"/>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4652B6">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675"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436" w:type="dxa"/>
            <w:gridSpan w:val="18"/>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771C48">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20"/>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0E7FB1">
              <w:rPr>
                <w:rFonts w:ascii="Times New Roman" w:hAnsi="Times New Roman"/>
                <w:b/>
                <w:sz w:val="24"/>
                <w:szCs w:val="24"/>
                <w:lang w:eastAsia="uk-UA"/>
              </w:rPr>
              <w:t>ескроу</w:t>
            </w:r>
            <w:proofErr w:type="spellEnd"/>
            <w:r w:rsidRPr="000E7FB1">
              <w:rPr>
                <w:rFonts w:ascii="Times New Roman" w:hAnsi="Times New Roman"/>
                <w:b/>
                <w:sz w:val="24"/>
                <w:szCs w:val="24"/>
                <w:lang w:eastAsia="uk-UA"/>
              </w:rPr>
              <w:t>)]</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lastRenderedPageBreak/>
              <w:t>1.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в національній валюті </w:t>
            </w:r>
          </w:p>
        </w:tc>
      </w:tr>
      <w:tr w:rsidR="00B40BDD" w14:paraId="6EBD057A" w14:textId="0F34F984" w:rsidTr="001B01B7">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72" w:type="dxa"/>
            <w:gridSpan w:val="5"/>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1B01B7">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72" w:type="dxa"/>
            <w:gridSpan w:val="5"/>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552E48">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11" w:type="dxa"/>
            <w:gridSpan w:val="20"/>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B40BDD" w14:paraId="42930795" w14:textId="77777777" w:rsidTr="00552E48">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11" w:type="dxa"/>
            <w:gridSpan w:val="20"/>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6C3A4F" w14:paraId="5E92B576" w14:textId="77777777" w:rsidTr="00771C48">
        <w:tc>
          <w:tcPr>
            <w:tcW w:w="576" w:type="dxa"/>
            <w:vMerge w:val="restart"/>
            <w:tcBorders>
              <w:top w:val="single" w:sz="4" w:space="0" w:color="auto"/>
            </w:tcBorders>
          </w:tcPr>
          <w:p w14:paraId="26E4405D" w14:textId="77777777" w:rsidR="006C3A4F" w:rsidRPr="007903B4" w:rsidRDefault="006C3A4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11" w:type="dxa"/>
            <w:gridSpan w:val="20"/>
          </w:tcPr>
          <w:p w14:paraId="6F8BBB06" w14:textId="02E957E1" w:rsidR="006C3A4F" w:rsidRPr="006C3A4F" w:rsidRDefault="006C3A4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6C3A4F" w14:paraId="5BFC6F32" w14:textId="71ECF6CC" w:rsidTr="001B01B7">
        <w:tc>
          <w:tcPr>
            <w:tcW w:w="576" w:type="dxa"/>
            <w:vMerge/>
          </w:tcPr>
          <w:p w14:paraId="7D71F51A" w14:textId="77777777" w:rsidR="006C3A4F" w:rsidRPr="007903B4" w:rsidRDefault="006C3A4F" w:rsidP="00D459FF">
            <w:pPr>
              <w:jc w:val="center"/>
              <w:rPr>
                <w:rFonts w:ascii="Times New Roman" w:hAnsi="Times New Roman"/>
                <w:sz w:val="24"/>
                <w:szCs w:val="24"/>
                <w:lang w:eastAsia="uk-UA"/>
              </w:rPr>
            </w:pPr>
          </w:p>
        </w:tc>
        <w:tc>
          <w:tcPr>
            <w:tcW w:w="2138" w:type="dxa"/>
            <w:vMerge/>
          </w:tcPr>
          <w:p w14:paraId="17D4F47A" w14:textId="77777777" w:rsidR="006C3A4F" w:rsidRPr="000E7FB1" w:rsidRDefault="006C3A4F"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6C3A4F" w:rsidRPr="000E7FB1" w:rsidRDefault="006C3A4F" w:rsidP="00D459FF">
            <w:pPr>
              <w:jc w:val="center"/>
              <w:rPr>
                <w:rFonts w:ascii="Times New Roman" w:hAnsi="Times New Roman"/>
                <w:sz w:val="24"/>
                <w:szCs w:val="24"/>
                <w:lang w:eastAsia="uk-UA"/>
              </w:rPr>
            </w:pPr>
          </w:p>
        </w:tc>
        <w:tc>
          <w:tcPr>
            <w:tcW w:w="2239" w:type="dxa"/>
            <w:gridSpan w:val="15"/>
          </w:tcPr>
          <w:p w14:paraId="07E0F3FA" w14:textId="36C7CD32" w:rsidR="006C3A4F" w:rsidRPr="000E7FB1" w:rsidRDefault="006C3A4F"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w:t>
            </w:r>
            <w:r w:rsidR="00B40BDD" w:rsidRPr="00432500">
              <w:rPr>
                <w:rFonts w:ascii="Times New Roman" w:hAnsi="Times New Roman"/>
                <w:sz w:val="24"/>
                <w:szCs w:val="24"/>
                <w:lang w:eastAsia="uk-UA"/>
              </w:rPr>
              <w:t>и</w:t>
            </w:r>
            <w:r w:rsidRPr="00432500">
              <w:rPr>
                <w:rFonts w:ascii="Times New Roman" w:hAnsi="Times New Roman"/>
                <w:sz w:val="24"/>
                <w:szCs w:val="24"/>
                <w:lang w:eastAsia="uk-UA"/>
              </w:rPr>
              <w:t xml:space="preserve"> рахунк</w:t>
            </w:r>
            <w:r w:rsidR="00B40BDD" w:rsidRPr="00432500">
              <w:rPr>
                <w:rFonts w:ascii="Times New Roman" w:hAnsi="Times New Roman"/>
                <w:sz w:val="24"/>
                <w:szCs w:val="24"/>
                <w:lang w:eastAsia="uk-UA"/>
              </w:rPr>
              <w:t>ами</w:t>
            </w:r>
            <w:r w:rsidRPr="00432500">
              <w:rPr>
                <w:rFonts w:ascii="Times New Roman" w:hAnsi="Times New Roman"/>
                <w:sz w:val="24"/>
                <w:szCs w:val="24"/>
                <w:lang w:eastAsia="uk-UA"/>
              </w:rPr>
              <w:t>:</w:t>
            </w:r>
          </w:p>
        </w:tc>
        <w:tc>
          <w:tcPr>
            <w:tcW w:w="4872" w:type="dxa"/>
            <w:gridSpan w:val="5"/>
          </w:tcPr>
          <w:p w14:paraId="2AC4DA5C" w14:textId="3F131B81" w:rsidR="006C3A4F" w:rsidRPr="000E7FB1" w:rsidRDefault="006C3A4F"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771C48">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11" w:type="dxa"/>
            <w:gridSpan w:val="20"/>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771C48">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11" w:type="dxa"/>
            <w:gridSpan w:val="20"/>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771C48">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11" w:type="dxa"/>
            <w:gridSpan w:val="20"/>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771C48">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11" w:type="dxa"/>
            <w:gridSpan w:val="20"/>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E74CD8" w14:paraId="1C34FB31" w14:textId="77777777" w:rsidTr="00771C48">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11" w:type="dxa"/>
            <w:gridSpan w:val="20"/>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w:t>
            </w:r>
            <w:r w:rsidRPr="000E7FB1">
              <w:rPr>
                <w:rFonts w:ascii="Times New Roman" w:hAnsi="Times New Roman"/>
                <w:sz w:val="24"/>
                <w:szCs w:val="24"/>
                <w:lang w:eastAsia="uk-UA"/>
              </w:rPr>
              <w:lastRenderedPageBreak/>
              <w:t>придбаними на первинному ринку (у Міністерства фінансів України), строк якої не перевищує двох робочих днів].</w:t>
            </w:r>
          </w:p>
        </w:tc>
      </w:tr>
      <w:tr w:rsidR="00E74CD8" w14:paraId="137FF01E" w14:textId="77777777" w:rsidTr="00771C48">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lastRenderedPageBreak/>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11" w:type="dxa"/>
            <w:gridSpan w:val="20"/>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771C48">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11" w:type="dxa"/>
            <w:gridSpan w:val="20"/>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771C48">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11" w:type="dxa"/>
            <w:gridSpan w:val="20"/>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771C48">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11" w:type="dxa"/>
            <w:gridSpan w:val="20"/>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771C48">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11" w:type="dxa"/>
            <w:gridSpan w:val="20"/>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B40BDD">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2"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B40BDD">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B40BDD">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552E48">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11" w:type="dxa"/>
            <w:gridSpan w:val="20"/>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771C48">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11" w:type="dxa"/>
            <w:gridSpan w:val="20"/>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B40BDD">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2"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B40BDD">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B40BDD">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B40BDD">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B40BDD">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B40BDD">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B40BDD">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B40BDD">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B40BDD">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552E48">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11" w:type="dxa"/>
            <w:gridSpan w:val="20"/>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47F81">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11" w:type="dxa"/>
            <w:gridSpan w:val="20"/>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lastRenderedPageBreak/>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47F81">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436" w:type="dxa"/>
            <w:gridSpan w:val="18"/>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47F81">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47F81">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47F81">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47F81">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47F81">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47F81">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47F81">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11" w:type="dxa"/>
            <w:gridSpan w:val="20"/>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64430F" w14:paraId="18945EC4" w14:textId="10760D3D" w:rsidTr="00105093">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105093">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105093">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47F81">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771C48">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11" w:type="dxa"/>
            <w:gridSpan w:val="20"/>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771C48">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11" w:type="dxa"/>
            <w:gridSpan w:val="20"/>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1B01B7">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239"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342F1E" w14:paraId="0FF3468C" w14:textId="77777777" w:rsidTr="00087AEA">
        <w:tc>
          <w:tcPr>
            <w:tcW w:w="576" w:type="dxa"/>
          </w:tcPr>
          <w:p w14:paraId="6CE1D01B" w14:textId="493C416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28</w:t>
            </w:r>
          </w:p>
        </w:tc>
        <w:tc>
          <w:tcPr>
            <w:tcW w:w="2138" w:type="dxa"/>
          </w:tcPr>
          <w:p w14:paraId="2DF9999D" w14:textId="4BB1FBE6"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5B86F4F9" w14:textId="5116D953"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11" w:type="dxa"/>
            <w:gridSpan w:val="20"/>
          </w:tcPr>
          <w:p w14:paraId="7C4D20EB"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35F4DF38" w14:textId="77777777"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14:paraId="7D25030F" w14:textId="0E2426F6"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342F1E" w14:paraId="69C4C9C7" w14:textId="77777777" w:rsidTr="00087AEA">
        <w:tc>
          <w:tcPr>
            <w:tcW w:w="576" w:type="dxa"/>
            <w:vMerge w:val="restart"/>
          </w:tcPr>
          <w:p w14:paraId="02E61226" w14:textId="0F0F838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29</w:t>
            </w:r>
          </w:p>
        </w:tc>
        <w:tc>
          <w:tcPr>
            <w:tcW w:w="2138" w:type="dxa"/>
            <w:vMerge w:val="restart"/>
          </w:tcPr>
          <w:p w14:paraId="4F52F280" w14:textId="5BF557F7"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3C2E0945" w14:textId="2197CAD4"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11" w:type="dxa"/>
            <w:gridSpan w:val="20"/>
          </w:tcPr>
          <w:p w14:paraId="19AE1A70"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57581905" w14:textId="4738F641"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w:t>
            </w:r>
          </w:p>
        </w:tc>
      </w:tr>
      <w:tr w:rsidR="00342F1E" w14:paraId="137092AF" w14:textId="77777777" w:rsidTr="00342F1E">
        <w:tc>
          <w:tcPr>
            <w:tcW w:w="576" w:type="dxa"/>
            <w:vMerge/>
          </w:tcPr>
          <w:p w14:paraId="1FEDEDAD" w14:textId="77777777" w:rsidR="00342F1E" w:rsidRDefault="00342F1E" w:rsidP="00B36417">
            <w:pPr>
              <w:jc w:val="center"/>
              <w:rPr>
                <w:rFonts w:ascii="Times New Roman" w:hAnsi="Times New Roman"/>
                <w:sz w:val="24"/>
                <w:szCs w:val="24"/>
                <w:lang w:eastAsia="uk-UA"/>
              </w:rPr>
            </w:pPr>
          </w:p>
        </w:tc>
        <w:tc>
          <w:tcPr>
            <w:tcW w:w="2138" w:type="dxa"/>
            <w:vMerge/>
          </w:tcPr>
          <w:p w14:paraId="05C3CB3C" w14:textId="77777777" w:rsidR="00342F1E" w:rsidRPr="000E7FB1" w:rsidRDefault="00342F1E" w:rsidP="00B36417">
            <w:pPr>
              <w:jc w:val="center"/>
              <w:rPr>
                <w:rFonts w:ascii="Times New Roman" w:hAnsi="Times New Roman"/>
                <w:sz w:val="24"/>
                <w:szCs w:val="24"/>
                <w:lang w:eastAsia="uk-UA"/>
              </w:rPr>
            </w:pPr>
          </w:p>
        </w:tc>
        <w:tc>
          <w:tcPr>
            <w:tcW w:w="1285" w:type="dxa"/>
            <w:vMerge/>
          </w:tcPr>
          <w:p w14:paraId="435877EA" w14:textId="77777777" w:rsidR="00342F1E" w:rsidRPr="000E7FB1" w:rsidRDefault="00342F1E" w:rsidP="00B36417">
            <w:pPr>
              <w:jc w:val="center"/>
              <w:rPr>
                <w:rFonts w:ascii="Times New Roman" w:hAnsi="Times New Roman"/>
                <w:sz w:val="24"/>
                <w:szCs w:val="24"/>
                <w:lang w:eastAsia="uk-UA"/>
              </w:rPr>
            </w:pPr>
          </w:p>
        </w:tc>
        <w:tc>
          <w:tcPr>
            <w:tcW w:w="2806" w:type="dxa"/>
            <w:gridSpan w:val="18"/>
          </w:tcPr>
          <w:p w14:paraId="1EBDFFD4" w14:textId="0B96B55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305" w:type="dxa"/>
            <w:gridSpan w:val="2"/>
          </w:tcPr>
          <w:p w14:paraId="33FD31E9" w14:textId="2A29214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771C48">
        <w:tc>
          <w:tcPr>
            <w:tcW w:w="576" w:type="dxa"/>
            <w:tcBorders>
              <w:top w:val="single" w:sz="4" w:space="0" w:color="auto"/>
            </w:tcBorders>
          </w:tcPr>
          <w:p w14:paraId="0FD2CEB3" w14:textId="19D92F5B"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11" w:type="dxa"/>
            <w:gridSpan w:val="20"/>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771C48">
        <w:tc>
          <w:tcPr>
            <w:tcW w:w="576" w:type="dxa"/>
            <w:tcBorders>
              <w:top w:val="single" w:sz="4" w:space="0" w:color="auto"/>
            </w:tcBorders>
          </w:tcPr>
          <w:p w14:paraId="2D483990" w14:textId="4EF204F7"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11" w:type="dxa"/>
            <w:gridSpan w:val="20"/>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771C48">
        <w:tc>
          <w:tcPr>
            <w:tcW w:w="576" w:type="dxa"/>
            <w:tcBorders>
              <w:top w:val="single" w:sz="4" w:space="0" w:color="auto"/>
            </w:tcBorders>
          </w:tcPr>
          <w:p w14:paraId="5A9C1295" w14:textId="0891B2CE"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11" w:type="dxa"/>
            <w:gridSpan w:val="20"/>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w:t>
            </w:r>
            <w:r w:rsidRPr="000E7FB1">
              <w:rPr>
                <w:rFonts w:ascii="Times New Roman" w:hAnsi="Times New Roman"/>
                <w:sz w:val="24"/>
                <w:szCs w:val="24"/>
                <w:lang w:eastAsia="uk-UA"/>
              </w:rPr>
              <w:lastRenderedPageBreak/>
              <w:t>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771C48">
        <w:tc>
          <w:tcPr>
            <w:tcW w:w="576" w:type="dxa"/>
            <w:tcBorders>
              <w:top w:val="single" w:sz="4" w:space="0" w:color="auto"/>
            </w:tcBorders>
          </w:tcPr>
          <w:p w14:paraId="691BBC38" w14:textId="50F83422"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33</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11" w:type="dxa"/>
            <w:gridSpan w:val="20"/>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771C48">
        <w:trPr>
          <w:trHeight w:val="1145"/>
        </w:trPr>
        <w:tc>
          <w:tcPr>
            <w:tcW w:w="576" w:type="dxa"/>
            <w:tcBorders>
              <w:top w:val="single" w:sz="4" w:space="0" w:color="auto"/>
            </w:tcBorders>
          </w:tcPr>
          <w:p w14:paraId="18E1DE61" w14:textId="3C09677E"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eastAsia="uk-UA"/>
              </w:rPr>
              <w:t>34</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11" w:type="dxa"/>
            <w:gridSpan w:val="20"/>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771C48">
        <w:tc>
          <w:tcPr>
            <w:tcW w:w="576" w:type="dxa"/>
            <w:tcBorders>
              <w:top w:val="single" w:sz="4" w:space="0" w:color="auto"/>
            </w:tcBorders>
          </w:tcPr>
          <w:p w14:paraId="286D69E6" w14:textId="27FB67CB"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val="ru-RU" w:eastAsia="uk-UA"/>
              </w:rPr>
              <w:t>35</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11" w:type="dxa"/>
            <w:gridSpan w:val="20"/>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771C48">
        <w:tc>
          <w:tcPr>
            <w:tcW w:w="576" w:type="dxa"/>
            <w:tcBorders>
              <w:top w:val="single" w:sz="4" w:space="0" w:color="auto"/>
            </w:tcBorders>
          </w:tcPr>
          <w:p w14:paraId="10658C18" w14:textId="142C86F1"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11" w:type="dxa"/>
            <w:gridSpan w:val="20"/>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771C48">
        <w:tc>
          <w:tcPr>
            <w:tcW w:w="576" w:type="dxa"/>
            <w:vMerge w:val="restart"/>
            <w:tcBorders>
              <w:top w:val="single" w:sz="4" w:space="0" w:color="auto"/>
            </w:tcBorders>
          </w:tcPr>
          <w:p w14:paraId="01D42BE7" w14:textId="26D9A656" w:rsidR="005D568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11" w:type="dxa"/>
            <w:gridSpan w:val="20"/>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4652B6">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4652B6">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4652B6">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4652B6">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4652B6">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771C48">
        <w:tc>
          <w:tcPr>
            <w:tcW w:w="576" w:type="dxa"/>
            <w:vMerge w:val="restart"/>
            <w:tcBorders>
              <w:top w:val="single" w:sz="4" w:space="0" w:color="auto"/>
            </w:tcBorders>
          </w:tcPr>
          <w:p w14:paraId="191B14D1" w14:textId="39A119DB"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sidR="00342F1E">
              <w:rPr>
                <w:rFonts w:ascii="Times New Roman" w:hAnsi="Times New Roman"/>
                <w:sz w:val="24"/>
                <w:szCs w:val="24"/>
                <w:lang w:val="en-US" w:eastAsia="uk-UA"/>
              </w:rPr>
              <w:t>8</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11" w:type="dxa"/>
            <w:gridSpan w:val="20"/>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4652B6">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4652B6">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4652B6">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4652B6">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4652B6">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771C48">
        <w:tc>
          <w:tcPr>
            <w:tcW w:w="576" w:type="dxa"/>
            <w:vMerge w:val="restart"/>
            <w:tcBorders>
              <w:top w:val="single" w:sz="4" w:space="0" w:color="auto"/>
            </w:tcBorders>
          </w:tcPr>
          <w:p w14:paraId="39F12758" w14:textId="3AF8187B"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w:t>
            </w:r>
            <w:r w:rsidR="00342F1E">
              <w:rPr>
                <w:rFonts w:ascii="Times New Roman" w:hAnsi="Times New Roman"/>
                <w:sz w:val="24"/>
                <w:szCs w:val="24"/>
                <w:lang w:eastAsia="uk-UA"/>
              </w:rPr>
              <w:t>9</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11" w:type="dxa"/>
            <w:gridSpan w:val="20"/>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4652B6">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4652B6">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436" w:type="dxa"/>
            <w:gridSpan w:val="18"/>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771C48">
        <w:tc>
          <w:tcPr>
            <w:tcW w:w="576" w:type="dxa"/>
            <w:vMerge w:val="restart"/>
            <w:tcBorders>
              <w:top w:val="single" w:sz="4" w:space="0" w:color="auto"/>
            </w:tcBorders>
          </w:tcPr>
          <w:p w14:paraId="429DF120" w14:textId="4204270E" w:rsidR="00A27C7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40</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11" w:type="dxa"/>
            <w:gridSpan w:val="20"/>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1B01B7">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239"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771C48">
        <w:trPr>
          <w:trHeight w:val="350"/>
        </w:trPr>
        <w:tc>
          <w:tcPr>
            <w:tcW w:w="576" w:type="dxa"/>
            <w:vMerge w:val="restart"/>
            <w:tcBorders>
              <w:top w:val="single" w:sz="4" w:space="0" w:color="auto"/>
            </w:tcBorders>
          </w:tcPr>
          <w:p w14:paraId="7442BC7A" w14:textId="041561B8" w:rsidR="00710844" w:rsidRPr="002F0634" w:rsidRDefault="00342F1E" w:rsidP="00FD4DF6">
            <w:pPr>
              <w:jc w:val="center"/>
              <w:rPr>
                <w:rFonts w:ascii="Times New Roman" w:hAnsi="Times New Roman"/>
                <w:sz w:val="24"/>
                <w:szCs w:val="24"/>
                <w:lang w:val="en-US" w:eastAsia="uk-UA"/>
              </w:rPr>
            </w:pPr>
            <w:r>
              <w:rPr>
                <w:rFonts w:ascii="Times New Roman" w:hAnsi="Times New Roman"/>
                <w:sz w:val="24"/>
                <w:szCs w:val="24"/>
                <w:lang w:val="en-US" w:eastAsia="uk-UA"/>
              </w:rPr>
              <w:t>41</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11" w:type="dxa"/>
            <w:gridSpan w:val="20"/>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1B01B7">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1B01B7">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72" w:type="dxa"/>
            <w:gridSpan w:val="5"/>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771C48">
        <w:tc>
          <w:tcPr>
            <w:tcW w:w="576" w:type="dxa"/>
            <w:tcBorders>
              <w:top w:val="single" w:sz="4" w:space="0" w:color="auto"/>
            </w:tcBorders>
          </w:tcPr>
          <w:p w14:paraId="566126F2" w14:textId="3635A43C" w:rsidR="00FD4DF6"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11" w:type="dxa"/>
            <w:gridSpan w:val="20"/>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771C48">
        <w:tc>
          <w:tcPr>
            <w:tcW w:w="576" w:type="dxa"/>
            <w:vMerge w:val="restart"/>
            <w:tcBorders>
              <w:top w:val="single" w:sz="4" w:space="0" w:color="auto"/>
            </w:tcBorders>
          </w:tcPr>
          <w:p w14:paraId="04F15DEE" w14:textId="2BFDF3A7"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342F1E">
              <w:rPr>
                <w:rFonts w:ascii="Times New Roman" w:hAnsi="Times New Roman"/>
                <w:sz w:val="24"/>
                <w:szCs w:val="24"/>
                <w:lang w:val="en-US" w:eastAsia="uk-UA"/>
              </w:rPr>
              <w:t>3</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11" w:type="dxa"/>
            <w:gridSpan w:val="20"/>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105093">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105093">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8408E9" w14:paraId="03B3C424" w14:textId="77777777" w:rsidTr="00105093">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771C48">
        <w:tc>
          <w:tcPr>
            <w:tcW w:w="576" w:type="dxa"/>
            <w:vMerge w:val="restart"/>
            <w:tcBorders>
              <w:top w:val="single" w:sz="4" w:space="0" w:color="auto"/>
            </w:tcBorders>
          </w:tcPr>
          <w:p w14:paraId="11479AE3" w14:textId="1F9C2EE1" w:rsidR="000C149F"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11" w:type="dxa"/>
            <w:gridSpan w:val="20"/>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B11873">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B11873">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B11873">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B11873">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B11873">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B11873">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B11873">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45452C">
        <w:trPr>
          <w:trHeight w:val="274"/>
        </w:trPr>
        <w:tc>
          <w:tcPr>
            <w:tcW w:w="576" w:type="dxa"/>
            <w:vMerge w:val="restart"/>
            <w:tcBorders>
              <w:top w:val="single" w:sz="4" w:space="0" w:color="auto"/>
            </w:tcBorders>
          </w:tcPr>
          <w:p w14:paraId="0F65442B" w14:textId="02F2DDB7" w:rsidR="0045452C"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45</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11" w:type="dxa"/>
            <w:gridSpan w:val="20"/>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B40BDD">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B40BDD">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B40BDD">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B40BDD">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B40BDD">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B40BDD">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B40BDD">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436" w:type="dxa"/>
            <w:gridSpan w:val="18"/>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771C48">
        <w:trPr>
          <w:trHeight w:val="1548"/>
        </w:trPr>
        <w:tc>
          <w:tcPr>
            <w:tcW w:w="576" w:type="dxa"/>
            <w:vMerge w:val="restart"/>
            <w:tcBorders>
              <w:top w:val="single" w:sz="4" w:space="0" w:color="auto"/>
            </w:tcBorders>
          </w:tcPr>
          <w:p w14:paraId="447DCC55" w14:textId="317AA067" w:rsidR="00BC59A3"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lastRenderedPageBreak/>
              <w:t>46</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11" w:type="dxa"/>
            <w:gridSpan w:val="20"/>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B40BDD">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B40BDD">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350" w:type="dxa"/>
            <w:gridSpan w:val="11"/>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771C48">
        <w:trPr>
          <w:trHeight w:val="1269"/>
        </w:trPr>
        <w:tc>
          <w:tcPr>
            <w:tcW w:w="576" w:type="dxa"/>
            <w:vMerge w:val="restart"/>
            <w:tcBorders>
              <w:top w:val="single" w:sz="4" w:space="0" w:color="auto"/>
            </w:tcBorders>
          </w:tcPr>
          <w:p w14:paraId="075E54B0" w14:textId="335C4D72" w:rsidR="00B31A59"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11" w:type="dxa"/>
            <w:gridSpan w:val="20"/>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B40BDD">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B40BDD">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350" w:type="dxa"/>
            <w:gridSpan w:val="11"/>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771C48">
        <w:trPr>
          <w:trHeight w:val="1009"/>
        </w:trPr>
        <w:tc>
          <w:tcPr>
            <w:tcW w:w="576" w:type="dxa"/>
            <w:vMerge w:val="restart"/>
            <w:tcBorders>
              <w:top w:val="single" w:sz="4" w:space="0" w:color="auto"/>
            </w:tcBorders>
          </w:tcPr>
          <w:p w14:paraId="1C2B861E" w14:textId="59C9B0AD" w:rsidR="00015D07"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11" w:type="dxa"/>
            <w:gridSpan w:val="20"/>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B40BDD">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42" w:type="dxa"/>
            <w:gridSpan w:val="10"/>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B40BDD">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342" w:type="dxa"/>
            <w:gridSpan w:val="10"/>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BA7808">
        <w:trPr>
          <w:trHeight w:val="1278"/>
        </w:trPr>
        <w:tc>
          <w:tcPr>
            <w:tcW w:w="576" w:type="dxa"/>
            <w:vMerge w:val="restart"/>
            <w:tcBorders>
              <w:top w:val="single" w:sz="4" w:space="0" w:color="auto"/>
            </w:tcBorders>
          </w:tcPr>
          <w:p w14:paraId="58DDD0DF" w14:textId="23F49A5F" w:rsidR="00BA7808" w:rsidRPr="007903B4" w:rsidRDefault="00342F1E" w:rsidP="00702A51">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11" w:type="dxa"/>
            <w:gridSpan w:val="20"/>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105093">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105093">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105093">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0C1A8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11" w:type="dxa"/>
            <w:gridSpan w:val="20"/>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C1598F">
        <w:trPr>
          <w:trHeight w:val="318"/>
        </w:trPr>
        <w:tc>
          <w:tcPr>
            <w:tcW w:w="576" w:type="dxa"/>
            <w:vMerge w:val="restart"/>
            <w:tcBorders>
              <w:top w:val="single" w:sz="4" w:space="0" w:color="auto"/>
            </w:tcBorders>
          </w:tcPr>
          <w:p w14:paraId="1E6ABCE3" w14:textId="6FA245A1" w:rsidR="00C1598F" w:rsidRPr="002F0634" w:rsidRDefault="00342F1E" w:rsidP="00702A51">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11" w:type="dxa"/>
            <w:gridSpan w:val="20"/>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B40BDD">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56" w:type="dxa"/>
            <w:gridSpan w:val="7"/>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B40BDD">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B40BDD">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E53D20">
        <w:trPr>
          <w:trHeight w:val="150"/>
        </w:trPr>
        <w:tc>
          <w:tcPr>
            <w:tcW w:w="576" w:type="dxa"/>
            <w:vMerge w:val="restart"/>
          </w:tcPr>
          <w:p w14:paraId="20A989F9" w14:textId="4253A549" w:rsidR="00E53D20" w:rsidRPr="00E53D20" w:rsidRDefault="00342F1E" w:rsidP="00E53D20">
            <w:pPr>
              <w:rPr>
                <w:rFonts w:ascii="Times New Roman" w:hAnsi="Times New Roman"/>
                <w:sz w:val="24"/>
                <w:szCs w:val="24"/>
                <w:lang w:val="en-US" w:eastAsia="uk-UA"/>
              </w:rPr>
            </w:pPr>
            <w:r>
              <w:rPr>
                <w:rFonts w:ascii="Times New Roman" w:hAnsi="Times New Roman"/>
                <w:sz w:val="24"/>
                <w:szCs w:val="24"/>
                <w:lang w:val="en-US" w:eastAsia="uk-UA"/>
              </w:rPr>
              <w:t>51</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11" w:type="dxa"/>
            <w:gridSpan w:val="20"/>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E53D20" w14:paraId="3BBDEFCC" w14:textId="77777777" w:rsidTr="00B40BDD">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56" w:type="dxa"/>
            <w:gridSpan w:val="7"/>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B40BDD">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B40BDD">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B40BDD">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B40BDD">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B40BDD">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B40BDD">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B40BDD">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771C48">
        <w:trPr>
          <w:trHeight w:val="1548"/>
        </w:trPr>
        <w:tc>
          <w:tcPr>
            <w:tcW w:w="576" w:type="dxa"/>
            <w:tcBorders>
              <w:top w:val="single" w:sz="4" w:space="0" w:color="auto"/>
            </w:tcBorders>
          </w:tcPr>
          <w:p w14:paraId="000BCA63" w14:textId="13B33B9F" w:rsidR="00E53D20" w:rsidRPr="00E53D20" w:rsidRDefault="00342F1E" w:rsidP="00E53D20">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52</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11" w:type="dxa"/>
            <w:gridSpan w:val="20"/>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1BA83C73" w:rsidR="00E53D20" w:rsidRPr="000E7FB1" w:rsidRDefault="00E53D20" w:rsidP="00342F1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Pr>
                <w:rFonts w:ascii="Times New Roman" w:hAnsi="Times New Roman"/>
                <w:sz w:val="24"/>
                <w:szCs w:val="24"/>
                <w:lang w:eastAsia="uk-UA"/>
              </w:rPr>
              <w:t xml:space="preserve">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E53D20" w14:paraId="6C99B78B" w14:textId="77777777" w:rsidTr="00771C48">
        <w:trPr>
          <w:trHeight w:val="1548"/>
        </w:trPr>
        <w:tc>
          <w:tcPr>
            <w:tcW w:w="576" w:type="dxa"/>
            <w:vMerge w:val="restart"/>
            <w:tcBorders>
              <w:top w:val="single" w:sz="4" w:space="0" w:color="auto"/>
            </w:tcBorders>
          </w:tcPr>
          <w:p w14:paraId="5DC4259A" w14:textId="4281EE1C"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11" w:type="dxa"/>
            <w:gridSpan w:val="20"/>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E53D20" w14:paraId="335CAEA0" w14:textId="61735D18" w:rsidTr="00B40BDD">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70" w:type="dxa"/>
            <w:gridSpan w:val="13"/>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B40BDD">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B40BDD">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B40BDD">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B40BDD">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771C48">
        <w:tc>
          <w:tcPr>
            <w:tcW w:w="576" w:type="dxa"/>
            <w:vMerge w:val="restart"/>
            <w:tcBorders>
              <w:top w:val="single" w:sz="4" w:space="0" w:color="auto"/>
            </w:tcBorders>
          </w:tcPr>
          <w:p w14:paraId="60235072" w14:textId="5C1E05D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11" w:type="dxa"/>
            <w:gridSpan w:val="20"/>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E53D20" w14:paraId="233829E6" w14:textId="45ED3913" w:rsidTr="00B40BDD">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B40BDD">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404" w:type="dxa"/>
            <w:gridSpan w:val="15"/>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B40BDD">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699"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412" w:type="dxa"/>
            <w:gridSpan w:val="16"/>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771C48">
        <w:tc>
          <w:tcPr>
            <w:tcW w:w="576" w:type="dxa"/>
            <w:vMerge w:val="restart"/>
            <w:tcBorders>
              <w:top w:val="single" w:sz="4" w:space="0" w:color="auto"/>
            </w:tcBorders>
          </w:tcPr>
          <w:p w14:paraId="6341C4EB" w14:textId="292C0680"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5</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11" w:type="dxa"/>
            <w:gridSpan w:val="20"/>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105093">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105093">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105093">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105093">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105093">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771C48">
        <w:tc>
          <w:tcPr>
            <w:tcW w:w="576" w:type="dxa"/>
            <w:vMerge w:val="restart"/>
            <w:tcBorders>
              <w:top w:val="single" w:sz="4" w:space="0" w:color="auto"/>
            </w:tcBorders>
          </w:tcPr>
          <w:p w14:paraId="7871CCF1" w14:textId="4CD1C27A"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11" w:type="dxa"/>
            <w:gridSpan w:val="20"/>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B40BDD">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658"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53" w:type="dxa"/>
            <w:gridSpan w:val="19"/>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B40BDD">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B40BDD">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B40BDD">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B40BDD">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B40BDD">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B40BDD">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3C7323" w14:paraId="1BDC4815" w14:textId="77777777" w:rsidTr="00B40BDD">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658"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453" w:type="dxa"/>
            <w:gridSpan w:val="19"/>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E53D20" w14:paraId="0B207E90" w14:textId="77777777" w:rsidTr="00B40BDD">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B40BDD">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B40BDD">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B40BDD">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B40BDD">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B40BDD">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B40BDD">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B40BDD">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B40BDD">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B40BDD">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B40BDD">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B40BDD">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B40BDD">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B40BDD">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B40BDD">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B40BDD">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B40BDD">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B40BDD">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771C48">
        <w:tc>
          <w:tcPr>
            <w:tcW w:w="576" w:type="dxa"/>
            <w:vMerge w:val="restart"/>
            <w:tcBorders>
              <w:top w:val="single" w:sz="4" w:space="0" w:color="auto"/>
            </w:tcBorders>
          </w:tcPr>
          <w:p w14:paraId="0C99F4A9" w14:textId="3A0EAA83"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7</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11" w:type="dxa"/>
            <w:gridSpan w:val="20"/>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B40BDD">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B40BDD">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771C48">
        <w:tc>
          <w:tcPr>
            <w:tcW w:w="576" w:type="dxa"/>
            <w:vMerge w:val="restart"/>
            <w:tcBorders>
              <w:top w:val="single" w:sz="4" w:space="0" w:color="auto"/>
            </w:tcBorders>
          </w:tcPr>
          <w:p w14:paraId="24058F37" w14:textId="775AF7A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11" w:type="dxa"/>
            <w:gridSpan w:val="20"/>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B40BDD">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B40BDD">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771C48">
        <w:tc>
          <w:tcPr>
            <w:tcW w:w="576" w:type="dxa"/>
            <w:vMerge w:val="restart"/>
            <w:tcBorders>
              <w:top w:val="single" w:sz="4" w:space="0" w:color="auto"/>
            </w:tcBorders>
          </w:tcPr>
          <w:p w14:paraId="02027AF5" w14:textId="6AA30D9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59</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11" w:type="dxa"/>
            <w:gridSpan w:val="20"/>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105093">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105093">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105093">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105093">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105093">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105093">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CD11FE">
        <w:trPr>
          <w:trHeight w:val="277"/>
        </w:trPr>
        <w:tc>
          <w:tcPr>
            <w:tcW w:w="576" w:type="dxa"/>
            <w:vMerge w:val="restart"/>
            <w:tcBorders>
              <w:top w:val="single" w:sz="4" w:space="0" w:color="auto"/>
            </w:tcBorders>
          </w:tcPr>
          <w:p w14:paraId="1E4EE630" w14:textId="31C7894F" w:rsidR="008B3D4F" w:rsidRPr="007903B4" w:rsidRDefault="00342F1E" w:rsidP="00E53D20">
            <w:pPr>
              <w:jc w:val="center"/>
              <w:rPr>
                <w:rFonts w:ascii="Times New Roman" w:hAnsi="Times New Roman"/>
                <w:sz w:val="24"/>
                <w:szCs w:val="24"/>
                <w:lang w:val="ru-RU" w:eastAsia="uk-UA"/>
              </w:rPr>
            </w:pPr>
            <w:r>
              <w:rPr>
                <w:rFonts w:ascii="Times New Roman" w:hAnsi="Times New Roman"/>
                <w:sz w:val="24"/>
                <w:szCs w:val="24"/>
                <w:lang w:val="ru-RU" w:eastAsia="uk-UA"/>
              </w:rPr>
              <w:t>60</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11" w:type="dxa"/>
            <w:gridSpan w:val="20"/>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8B3D4F" w14:paraId="62AF5D40" w14:textId="3D6D494D" w:rsidTr="00B40BDD">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33" w:type="dxa"/>
            <w:gridSpan w:val="9"/>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8B3D4F" w14:paraId="54754A87" w14:textId="3CF87E3A" w:rsidTr="00B40BDD">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8B3D4F" w14:paraId="50208555" w14:textId="7E50EECF" w:rsidTr="00B40BDD">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8B3D4F" w14:paraId="05532DE0" w14:textId="7C7863F9" w:rsidTr="00B40BDD">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8B3D4F" w14:paraId="69201A50" w14:textId="4E9A2C2F" w:rsidTr="00B40BDD">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8B3D4F" w14:paraId="58047070" w14:textId="77777777" w:rsidTr="00B40BDD">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1778" w:type="dxa"/>
            <w:gridSpan w:val="11"/>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333" w:type="dxa"/>
            <w:gridSpan w:val="9"/>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771C48">
        <w:trPr>
          <w:trHeight w:val="1139"/>
        </w:trPr>
        <w:tc>
          <w:tcPr>
            <w:tcW w:w="576" w:type="dxa"/>
            <w:vMerge w:val="restart"/>
            <w:tcBorders>
              <w:top w:val="single" w:sz="4" w:space="0" w:color="auto"/>
            </w:tcBorders>
          </w:tcPr>
          <w:p w14:paraId="5408D22A" w14:textId="58DED693"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61</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11" w:type="dxa"/>
            <w:gridSpan w:val="20"/>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D221B55" w14:textId="0549AC16" w:rsidTr="00B40BDD">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60491BD1" w14:textId="6DF0DEB8" w:rsidTr="00B40BDD">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52449C5E" w14:textId="4F6F2126" w:rsidTr="00B40BDD">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7B8CC3C" w14:textId="16DCE2DE" w:rsidTr="00B40BDD">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771C48">
        <w:tc>
          <w:tcPr>
            <w:tcW w:w="576" w:type="dxa"/>
            <w:vMerge w:val="restart"/>
            <w:tcBorders>
              <w:top w:val="single" w:sz="4" w:space="0" w:color="auto"/>
            </w:tcBorders>
          </w:tcPr>
          <w:p w14:paraId="110554C0" w14:textId="1DE47558"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62</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11" w:type="dxa"/>
            <w:gridSpan w:val="20"/>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8B3D4F" w14:paraId="2D4B3E85" w14:textId="5EA80B94" w:rsidTr="00B40BDD">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70" w:type="dxa"/>
            <w:gridSpan w:val="13"/>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4BE107EF" w14:textId="154F13F3" w:rsidTr="00B40BDD">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6EB494D4" w14:textId="0A351A88" w:rsidTr="00B40BDD">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446FCE7" w14:textId="4381A879" w:rsidTr="00B40BDD">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771C48">
        <w:tc>
          <w:tcPr>
            <w:tcW w:w="576" w:type="dxa"/>
            <w:vMerge w:val="restart"/>
            <w:tcBorders>
              <w:top w:val="single" w:sz="4" w:space="0" w:color="auto"/>
            </w:tcBorders>
          </w:tcPr>
          <w:p w14:paraId="746A83A9" w14:textId="6F748304"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63</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11" w:type="dxa"/>
            <w:gridSpan w:val="20"/>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Кошти небанківських фінансових установ на вимогу, на які було накладено обмеження на розпорядження (зокрема арешт), </w:t>
            </w:r>
          </w:p>
        </w:tc>
      </w:tr>
      <w:tr w:rsidR="008B3D4F" w14:paraId="7C3C48E1" w14:textId="221E95A8" w:rsidTr="00B40BDD">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4A8CBB6B" w14:textId="367A697E" w:rsidTr="00B40BDD">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771C48">
        <w:tc>
          <w:tcPr>
            <w:tcW w:w="576" w:type="dxa"/>
            <w:vMerge w:val="restart"/>
            <w:tcBorders>
              <w:top w:val="single" w:sz="4" w:space="0" w:color="auto"/>
            </w:tcBorders>
          </w:tcPr>
          <w:p w14:paraId="5B7015A1" w14:textId="1F5F493F"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64</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11" w:type="dxa"/>
            <w:gridSpan w:val="20"/>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8B3D4F" w14:paraId="665E9DF8" w14:textId="5795DE78" w:rsidTr="00B40BDD">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0891F5F4" w14:textId="75C15936" w:rsidTr="00B40BDD">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771C48">
        <w:tc>
          <w:tcPr>
            <w:tcW w:w="576" w:type="dxa"/>
            <w:vMerge w:val="restart"/>
            <w:tcBorders>
              <w:top w:val="single" w:sz="4" w:space="0" w:color="auto"/>
            </w:tcBorders>
          </w:tcPr>
          <w:p w14:paraId="5F1A215C" w14:textId="3FA53DD6" w:rsidR="00F02347" w:rsidRPr="00E53D20" w:rsidRDefault="00F02347"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342F1E">
              <w:rPr>
                <w:rFonts w:ascii="Times New Roman" w:hAnsi="Times New Roman"/>
                <w:sz w:val="24"/>
                <w:szCs w:val="24"/>
                <w:lang w:val="en-US" w:eastAsia="uk-UA"/>
              </w:rPr>
              <w:t>5</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11" w:type="dxa"/>
            <w:gridSpan w:val="20"/>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F02347" w14:paraId="46684369" w14:textId="514DD936" w:rsidTr="00B40BDD">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F02347" w14:paraId="36469399" w14:textId="77777777" w:rsidTr="00B40BDD">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087DB0CE" w14:textId="77777777" w:rsidR="00F02347" w:rsidRPr="000E7FB1" w:rsidRDefault="00F02347" w:rsidP="008B3D4F">
            <w:pPr>
              <w:jc w:val="both"/>
              <w:rPr>
                <w:rFonts w:ascii="Times New Roman" w:hAnsi="Times New Roman"/>
                <w:sz w:val="24"/>
                <w:szCs w:val="24"/>
                <w:lang w:eastAsia="uk-UA"/>
              </w:rPr>
            </w:pPr>
          </w:p>
        </w:tc>
        <w:tc>
          <w:tcPr>
            <w:tcW w:w="5404" w:type="dxa"/>
            <w:gridSpan w:val="15"/>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F02347" w14:paraId="3060E8D0" w14:textId="484E3B24" w:rsidTr="00B40BDD">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404" w:type="dxa"/>
            <w:gridSpan w:val="15"/>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F02347" w14:paraId="2C040466" w14:textId="77777777" w:rsidTr="00B40BDD">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771C48">
        <w:tc>
          <w:tcPr>
            <w:tcW w:w="576" w:type="dxa"/>
            <w:vMerge w:val="restart"/>
            <w:tcBorders>
              <w:top w:val="single" w:sz="4" w:space="0" w:color="auto"/>
            </w:tcBorders>
          </w:tcPr>
          <w:p w14:paraId="52FD9925" w14:textId="7524177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11" w:type="dxa"/>
            <w:gridSpan w:val="20"/>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F02347" w14:paraId="504ED5FC" w14:textId="387AF23D" w:rsidTr="00B40BDD">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89" w:type="dxa"/>
            <w:gridSpan w:val="14"/>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F02347" w14:paraId="3358A212" w14:textId="6BDA1D02" w:rsidTr="00B40BDD">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F02347" w14:paraId="3035485E" w14:textId="1E10C2DA" w:rsidTr="00B40BDD">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771C48">
        <w:tc>
          <w:tcPr>
            <w:tcW w:w="576" w:type="dxa"/>
            <w:vMerge w:val="restart"/>
            <w:tcBorders>
              <w:top w:val="single" w:sz="4" w:space="0" w:color="auto"/>
            </w:tcBorders>
          </w:tcPr>
          <w:p w14:paraId="5B0D861D" w14:textId="163F3530"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11" w:type="dxa"/>
            <w:gridSpan w:val="20"/>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F02347" w14:paraId="31BA8B6C" w14:textId="1BAD2514" w:rsidTr="00B40BDD">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50" w:type="dxa"/>
            <w:gridSpan w:val="11"/>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F02347" w14:paraId="6FA180BD" w14:textId="71F7B621" w:rsidTr="00B40BDD">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F02347" w14:paraId="08E81EF5" w14:textId="3770DCD5" w:rsidTr="00B40BDD">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771C48">
        <w:tc>
          <w:tcPr>
            <w:tcW w:w="576" w:type="dxa"/>
            <w:vMerge w:val="restart"/>
            <w:tcBorders>
              <w:top w:val="single" w:sz="4" w:space="0" w:color="auto"/>
            </w:tcBorders>
          </w:tcPr>
          <w:p w14:paraId="4E685204" w14:textId="4047755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68</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11" w:type="dxa"/>
            <w:gridSpan w:val="20"/>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F02347" w14:paraId="7D97316F" w14:textId="76A1025E" w:rsidTr="001B01B7">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771C48">
        <w:tc>
          <w:tcPr>
            <w:tcW w:w="576" w:type="dxa"/>
            <w:vMerge w:val="restart"/>
            <w:tcBorders>
              <w:top w:val="single" w:sz="4" w:space="0" w:color="auto"/>
            </w:tcBorders>
          </w:tcPr>
          <w:p w14:paraId="52A9A769" w14:textId="15C6B823"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11" w:type="dxa"/>
            <w:gridSpan w:val="20"/>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1B01B7">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72" w:type="dxa"/>
            <w:gridSpan w:val="5"/>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1B01B7">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771C48">
        <w:tc>
          <w:tcPr>
            <w:tcW w:w="576" w:type="dxa"/>
            <w:vMerge w:val="restart"/>
            <w:tcBorders>
              <w:top w:val="single" w:sz="4" w:space="0" w:color="auto"/>
            </w:tcBorders>
          </w:tcPr>
          <w:p w14:paraId="550E7BA0" w14:textId="669265B6"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11" w:type="dxa"/>
            <w:gridSpan w:val="20"/>
          </w:tcPr>
          <w:p w14:paraId="12A3AEE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F02347" w14:paraId="088EFD55" w14:textId="2B5213B2" w:rsidTr="001B01B7">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1B01B7">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AFD4363"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771C48">
        <w:tc>
          <w:tcPr>
            <w:tcW w:w="576" w:type="dxa"/>
            <w:vMerge w:val="restart"/>
            <w:tcBorders>
              <w:top w:val="single" w:sz="4" w:space="0" w:color="auto"/>
            </w:tcBorders>
          </w:tcPr>
          <w:p w14:paraId="03C6F6D5" w14:textId="2D977047"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71</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11" w:type="dxa"/>
            <w:gridSpan w:val="20"/>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1B01B7">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1B01B7">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tcPr>
          <w:p w14:paraId="7EF386AD" w14:textId="77777777" w:rsidR="00D84FF2" w:rsidRPr="000E7FB1" w:rsidRDefault="00D84FF2" w:rsidP="00F02347">
            <w:pPr>
              <w:jc w:val="both"/>
              <w:rPr>
                <w:rFonts w:ascii="Times New Roman" w:hAnsi="Times New Roman"/>
                <w:sz w:val="24"/>
                <w:szCs w:val="24"/>
                <w:lang w:eastAsia="uk-UA"/>
              </w:rPr>
            </w:pPr>
          </w:p>
        </w:tc>
        <w:tc>
          <w:tcPr>
            <w:tcW w:w="4872" w:type="dxa"/>
            <w:gridSpan w:val="5"/>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771C48">
        <w:tc>
          <w:tcPr>
            <w:tcW w:w="576" w:type="dxa"/>
            <w:vMerge w:val="restart"/>
            <w:tcBorders>
              <w:top w:val="single" w:sz="4" w:space="0" w:color="auto"/>
            </w:tcBorders>
          </w:tcPr>
          <w:p w14:paraId="7030F999" w14:textId="1D4D6D1B"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72</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11" w:type="dxa"/>
            <w:gridSpan w:val="20"/>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1B01B7">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1B01B7">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872" w:type="dxa"/>
            <w:gridSpan w:val="5"/>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771C48">
        <w:tc>
          <w:tcPr>
            <w:tcW w:w="576" w:type="dxa"/>
            <w:vMerge w:val="restart"/>
            <w:tcBorders>
              <w:top w:val="single" w:sz="4" w:space="0" w:color="auto"/>
            </w:tcBorders>
          </w:tcPr>
          <w:p w14:paraId="6AA0F1F7" w14:textId="7E74E04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73</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11" w:type="dxa"/>
            <w:gridSpan w:val="20"/>
          </w:tcPr>
          <w:p w14:paraId="6EF678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F02347" w14:paraId="0EEAC052" w14:textId="0D1427FB" w:rsidTr="001B01B7">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771C48">
        <w:tc>
          <w:tcPr>
            <w:tcW w:w="576" w:type="dxa"/>
            <w:vMerge w:val="restart"/>
            <w:tcBorders>
              <w:top w:val="single" w:sz="4" w:space="0" w:color="auto"/>
            </w:tcBorders>
          </w:tcPr>
          <w:p w14:paraId="2336AC55" w14:textId="49202F8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74</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11" w:type="dxa"/>
            <w:gridSpan w:val="20"/>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1B01B7">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771C48">
        <w:tc>
          <w:tcPr>
            <w:tcW w:w="576" w:type="dxa"/>
            <w:vMerge w:val="restart"/>
            <w:tcBorders>
              <w:top w:val="single" w:sz="4" w:space="0" w:color="auto"/>
            </w:tcBorders>
          </w:tcPr>
          <w:p w14:paraId="4FA032C4" w14:textId="79EA60D7"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11" w:type="dxa"/>
            <w:gridSpan w:val="20"/>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1B01B7">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771C48">
        <w:tc>
          <w:tcPr>
            <w:tcW w:w="576" w:type="dxa"/>
            <w:vMerge w:val="restart"/>
            <w:tcBorders>
              <w:top w:val="single" w:sz="4" w:space="0" w:color="auto"/>
            </w:tcBorders>
          </w:tcPr>
          <w:p w14:paraId="20F96816" w14:textId="50E0F7F1"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11" w:type="dxa"/>
            <w:gridSpan w:val="20"/>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1B01B7">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1B01B7">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1B01B7">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771C48">
        <w:tc>
          <w:tcPr>
            <w:tcW w:w="576" w:type="dxa"/>
            <w:vMerge w:val="restart"/>
            <w:tcBorders>
              <w:top w:val="single" w:sz="4" w:space="0" w:color="auto"/>
            </w:tcBorders>
          </w:tcPr>
          <w:p w14:paraId="61AE3E55" w14:textId="16281FD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11" w:type="dxa"/>
            <w:gridSpan w:val="20"/>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720353">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639"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720353">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639"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771C48">
        <w:tc>
          <w:tcPr>
            <w:tcW w:w="576" w:type="dxa"/>
            <w:vMerge w:val="restart"/>
            <w:tcBorders>
              <w:top w:val="single" w:sz="4" w:space="0" w:color="auto"/>
            </w:tcBorders>
          </w:tcPr>
          <w:p w14:paraId="3E7FA076" w14:textId="66D91C5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78</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11" w:type="dxa"/>
            <w:gridSpan w:val="20"/>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1B01B7">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1B01B7">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43AA8B0"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1B01B7">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EEF7968"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1B01B7">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1300567"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1B01B7">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F4EA049"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1B01B7">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1B01B7">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1B01B7">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1B01B7">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1B01B7">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771C48">
        <w:tc>
          <w:tcPr>
            <w:tcW w:w="576" w:type="dxa"/>
            <w:vMerge w:val="restart"/>
            <w:tcBorders>
              <w:top w:val="single" w:sz="4" w:space="0" w:color="auto"/>
            </w:tcBorders>
          </w:tcPr>
          <w:p w14:paraId="00C0A23F" w14:textId="15D1B2B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79</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11" w:type="dxa"/>
            <w:gridSpan w:val="20"/>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1B01B7">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1B01B7">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771C48">
        <w:tc>
          <w:tcPr>
            <w:tcW w:w="576" w:type="dxa"/>
            <w:vMerge w:val="restart"/>
            <w:tcBorders>
              <w:top w:val="single" w:sz="4" w:space="0" w:color="auto"/>
            </w:tcBorders>
          </w:tcPr>
          <w:p w14:paraId="48DE07B8" w14:textId="282C6228"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80</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11" w:type="dxa"/>
            <w:gridSpan w:val="20"/>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4B5F75">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4B5F75">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5D226F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4B5F75">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CCA320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4B5F75">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4F72B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4B5F75">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EDA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4B5F75">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84155AA"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4B5F75">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3ECA3F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4B5F75">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BD7FDA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4B5F75">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37FC4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771C48">
        <w:tc>
          <w:tcPr>
            <w:tcW w:w="576" w:type="dxa"/>
            <w:vMerge w:val="restart"/>
            <w:tcBorders>
              <w:top w:val="single" w:sz="4" w:space="0" w:color="auto"/>
            </w:tcBorders>
          </w:tcPr>
          <w:p w14:paraId="3429E845" w14:textId="72B744BB"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81</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11" w:type="dxa"/>
            <w:gridSpan w:val="20"/>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B11873">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14" w:type="dxa"/>
            <w:gridSpan w:val="6"/>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B11873">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B8AC6C5"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B11873">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8E90F5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B11873">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89E302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771C48">
        <w:tc>
          <w:tcPr>
            <w:tcW w:w="576" w:type="dxa"/>
            <w:vMerge w:val="restart"/>
            <w:tcBorders>
              <w:top w:val="single" w:sz="4" w:space="0" w:color="auto"/>
            </w:tcBorders>
          </w:tcPr>
          <w:p w14:paraId="63AB185D" w14:textId="3E9F53B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82</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11" w:type="dxa"/>
            <w:gridSpan w:val="20"/>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B11873">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B11873">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23FC55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B11873">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7970F6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B11873">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1B0A2F2"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771C48">
        <w:tc>
          <w:tcPr>
            <w:tcW w:w="576" w:type="dxa"/>
            <w:vMerge w:val="restart"/>
            <w:tcBorders>
              <w:top w:val="single" w:sz="4" w:space="0" w:color="auto"/>
            </w:tcBorders>
          </w:tcPr>
          <w:p w14:paraId="19EC0A30" w14:textId="6113C3C4"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342F1E">
              <w:rPr>
                <w:rFonts w:ascii="Times New Roman" w:hAnsi="Times New Roman"/>
                <w:sz w:val="24"/>
                <w:szCs w:val="24"/>
                <w:lang w:val="en-US" w:eastAsia="uk-UA"/>
              </w:rPr>
              <w:t>3</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11" w:type="dxa"/>
            <w:gridSpan w:val="20"/>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B11873">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771C48">
        <w:tc>
          <w:tcPr>
            <w:tcW w:w="576" w:type="dxa"/>
            <w:vMerge w:val="restart"/>
            <w:tcBorders>
              <w:top w:val="single" w:sz="4" w:space="0" w:color="auto"/>
            </w:tcBorders>
          </w:tcPr>
          <w:p w14:paraId="10F2B978" w14:textId="18C41B5C"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11" w:type="dxa"/>
            <w:gridSpan w:val="20"/>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B11873">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771C48">
        <w:tc>
          <w:tcPr>
            <w:tcW w:w="576" w:type="dxa"/>
            <w:vMerge w:val="restart"/>
            <w:tcBorders>
              <w:top w:val="single" w:sz="4" w:space="0" w:color="auto"/>
            </w:tcBorders>
          </w:tcPr>
          <w:p w14:paraId="3354EE90" w14:textId="72BD03E9"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11" w:type="dxa"/>
            <w:gridSpan w:val="20"/>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B11873">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771C48">
        <w:tc>
          <w:tcPr>
            <w:tcW w:w="576" w:type="dxa"/>
            <w:vMerge w:val="restart"/>
            <w:tcBorders>
              <w:top w:val="single" w:sz="4" w:space="0" w:color="auto"/>
            </w:tcBorders>
          </w:tcPr>
          <w:p w14:paraId="06A4A629" w14:textId="65074F56"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11" w:type="dxa"/>
            <w:gridSpan w:val="20"/>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B11873">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5014" w:type="dxa"/>
            <w:gridSpan w:val="6"/>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771C48">
        <w:tc>
          <w:tcPr>
            <w:tcW w:w="576" w:type="dxa"/>
            <w:vMerge w:val="restart"/>
            <w:tcBorders>
              <w:top w:val="single" w:sz="4" w:space="0" w:color="auto"/>
            </w:tcBorders>
          </w:tcPr>
          <w:p w14:paraId="3FD3AFA7" w14:textId="0A45E46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87</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11" w:type="dxa"/>
            <w:gridSpan w:val="20"/>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4B5F75">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771C48">
        <w:tc>
          <w:tcPr>
            <w:tcW w:w="576" w:type="dxa"/>
            <w:vMerge w:val="restart"/>
            <w:tcBorders>
              <w:top w:val="single" w:sz="4" w:space="0" w:color="auto"/>
            </w:tcBorders>
          </w:tcPr>
          <w:p w14:paraId="6787224D" w14:textId="5D016AF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88</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11" w:type="dxa"/>
            <w:gridSpan w:val="20"/>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4B5F75">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771C48">
        <w:tc>
          <w:tcPr>
            <w:tcW w:w="576" w:type="dxa"/>
            <w:vMerge w:val="restart"/>
            <w:tcBorders>
              <w:top w:val="single" w:sz="4" w:space="0" w:color="auto"/>
            </w:tcBorders>
          </w:tcPr>
          <w:p w14:paraId="3E162F82" w14:textId="2C74736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89</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11" w:type="dxa"/>
            <w:gridSpan w:val="20"/>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4B5F75">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4B5F75">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446BE4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4B5F75">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4E6EC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4B5F75">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328DBD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4B5F75">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C3882D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771C48">
        <w:tc>
          <w:tcPr>
            <w:tcW w:w="576" w:type="dxa"/>
            <w:vMerge w:val="restart"/>
            <w:tcBorders>
              <w:top w:val="single" w:sz="4" w:space="0" w:color="auto"/>
            </w:tcBorders>
          </w:tcPr>
          <w:p w14:paraId="404622FB" w14:textId="3B7E91DD"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11" w:type="dxa"/>
            <w:gridSpan w:val="20"/>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1B01B7">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1B01B7">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1B01B7">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1B01B7">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1B01B7">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1B01B7">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1B01B7">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1B01B7">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1B01B7">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1B01B7">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1B01B7">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1B01B7">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1B01B7">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1B01B7">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1B01B7">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1B01B7">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1B01B7">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1B01B7">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02347" w14:paraId="7AB97759" w14:textId="161C1FF5" w:rsidTr="001B01B7">
        <w:tc>
          <w:tcPr>
            <w:tcW w:w="576" w:type="dxa"/>
            <w:vMerge/>
          </w:tcPr>
          <w:p w14:paraId="139728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8E76A9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EFE95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ED8B58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002B905" w14:textId="27F434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F65F2B" w14:paraId="3F22C6AE" w14:textId="77777777" w:rsidTr="00771C48">
        <w:tc>
          <w:tcPr>
            <w:tcW w:w="576" w:type="dxa"/>
            <w:vMerge w:val="restart"/>
            <w:tcBorders>
              <w:top w:val="single" w:sz="4" w:space="0" w:color="auto"/>
            </w:tcBorders>
          </w:tcPr>
          <w:p w14:paraId="301F8AA2" w14:textId="2FA3C3E3" w:rsidR="00F65F2B"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91</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11" w:type="dxa"/>
            <w:gridSpan w:val="20"/>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1B01B7">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72" w:type="dxa"/>
            <w:gridSpan w:val="5"/>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1B01B7">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1B01B7">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1B01B7">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1B01B7">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771C48">
        <w:tc>
          <w:tcPr>
            <w:tcW w:w="576" w:type="dxa"/>
            <w:tcBorders>
              <w:top w:val="single" w:sz="4" w:space="0" w:color="auto"/>
            </w:tcBorders>
          </w:tcPr>
          <w:p w14:paraId="342CE3AB" w14:textId="72DC7750"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92</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11" w:type="dxa"/>
            <w:gridSpan w:val="20"/>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F02347" w14:paraId="4519EAB7" w14:textId="77777777" w:rsidTr="00771C48">
        <w:tc>
          <w:tcPr>
            <w:tcW w:w="576" w:type="dxa"/>
            <w:vMerge w:val="restart"/>
            <w:tcBorders>
              <w:top w:val="single" w:sz="4" w:space="0" w:color="auto"/>
            </w:tcBorders>
          </w:tcPr>
          <w:p w14:paraId="2A424E48" w14:textId="28805C1B"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11" w:type="dxa"/>
            <w:gridSpan w:val="20"/>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F02347" w14:paraId="7412A96C" w14:textId="4B383171" w:rsidTr="00B11873">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B11873">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21B6D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B11873">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C39A8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B11873">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8DDA7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B11873">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7138B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B11873">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3E092E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B11873">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B4059B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771C48">
        <w:tc>
          <w:tcPr>
            <w:tcW w:w="576" w:type="dxa"/>
            <w:vMerge w:val="restart"/>
            <w:tcBorders>
              <w:top w:val="single" w:sz="4" w:space="0" w:color="auto"/>
            </w:tcBorders>
          </w:tcPr>
          <w:p w14:paraId="0E4E4E3E" w14:textId="505C1F03"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11" w:type="dxa"/>
            <w:gridSpan w:val="20"/>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F02347" w14:paraId="14B0B3F9" w14:textId="081F8286" w:rsidTr="00105093">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592C72B8" w14:textId="77777777" w:rsidTr="00105093">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40E60F88" w14:textId="340E9D1B" w:rsidTr="00105093">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6C55A09C" w14:textId="77777777" w:rsidTr="00105093">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771C48">
        <w:tc>
          <w:tcPr>
            <w:tcW w:w="576" w:type="dxa"/>
            <w:vMerge w:val="restart"/>
            <w:tcBorders>
              <w:top w:val="single" w:sz="4" w:space="0" w:color="auto"/>
            </w:tcBorders>
          </w:tcPr>
          <w:p w14:paraId="00826E5A" w14:textId="44ED0BD4"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11" w:type="dxa"/>
            <w:gridSpan w:val="20"/>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4B5F75">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4B5F75">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5F85F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4B5F75">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231F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771C48">
        <w:tc>
          <w:tcPr>
            <w:tcW w:w="576" w:type="dxa"/>
            <w:vMerge w:val="restart"/>
            <w:tcBorders>
              <w:top w:val="single" w:sz="4" w:space="0" w:color="auto"/>
            </w:tcBorders>
          </w:tcPr>
          <w:p w14:paraId="38C3B07C" w14:textId="0DE132AE"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11" w:type="dxa"/>
            <w:gridSpan w:val="20"/>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4B5F75">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4B5F75">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C8CF64D"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4B5F75">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2196D2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4B5F75">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35A9DA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771C48">
        <w:tc>
          <w:tcPr>
            <w:tcW w:w="576" w:type="dxa"/>
            <w:vMerge w:val="restart"/>
            <w:tcBorders>
              <w:top w:val="single" w:sz="4" w:space="0" w:color="auto"/>
            </w:tcBorders>
          </w:tcPr>
          <w:p w14:paraId="7ACB8ECC" w14:textId="67580751"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342F1E">
              <w:rPr>
                <w:rFonts w:ascii="Times New Roman" w:hAnsi="Times New Roman"/>
                <w:sz w:val="24"/>
                <w:szCs w:val="24"/>
                <w:lang w:val="en-US" w:eastAsia="uk-UA"/>
              </w:rPr>
              <w:t>7</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11" w:type="dxa"/>
            <w:gridSpan w:val="20"/>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w:t>
            </w:r>
            <w:r>
              <w:rPr>
                <w:rFonts w:ascii="Times New Roman" w:hAnsi="Times New Roman"/>
                <w:b/>
                <w:sz w:val="24"/>
                <w:szCs w:val="24"/>
                <w:lang w:eastAsia="uk-UA"/>
              </w:rPr>
              <w:lastRenderedPageBreak/>
              <w:t xml:space="preserve">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4B5F75">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4B5F75">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F71F8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4B5F75">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256634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771C48">
        <w:tc>
          <w:tcPr>
            <w:tcW w:w="576" w:type="dxa"/>
            <w:vMerge w:val="restart"/>
            <w:tcBorders>
              <w:top w:val="single" w:sz="4" w:space="0" w:color="auto"/>
            </w:tcBorders>
          </w:tcPr>
          <w:p w14:paraId="671306D6" w14:textId="3CEEAA78"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11" w:type="dxa"/>
            <w:gridSpan w:val="20"/>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B11873">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014" w:type="dxa"/>
            <w:gridSpan w:val="6"/>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B11873">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FC12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771C48">
        <w:tc>
          <w:tcPr>
            <w:tcW w:w="576" w:type="dxa"/>
            <w:vMerge w:val="restart"/>
            <w:tcBorders>
              <w:top w:val="single" w:sz="4" w:space="0" w:color="auto"/>
            </w:tcBorders>
          </w:tcPr>
          <w:p w14:paraId="6246B463" w14:textId="7328E5F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11" w:type="dxa"/>
            <w:gridSpan w:val="20"/>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4B5F75">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4B5F75">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F57F028"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4B5F75">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B53776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552E48">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564629E7" w14:textId="6B3354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F02347" w14:paraId="06AC684E" w14:textId="77777777" w:rsidTr="00771C48">
        <w:tc>
          <w:tcPr>
            <w:tcW w:w="576" w:type="dxa"/>
          </w:tcPr>
          <w:p w14:paraId="49A93D99" w14:textId="602F0C73"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11" w:type="dxa"/>
            <w:gridSpan w:val="20"/>
          </w:tcPr>
          <w:p w14:paraId="2AB6834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F02347" w14:paraId="236E5EF9" w14:textId="77777777" w:rsidTr="00771C48">
        <w:tc>
          <w:tcPr>
            <w:tcW w:w="576" w:type="dxa"/>
          </w:tcPr>
          <w:p w14:paraId="1F2A20A6" w14:textId="10365BC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101</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11" w:type="dxa"/>
            <w:gridSpan w:val="20"/>
          </w:tcPr>
          <w:p w14:paraId="553FE87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F02347" w14:paraId="5827DBC5" w14:textId="77777777" w:rsidTr="00771C48">
        <w:tc>
          <w:tcPr>
            <w:tcW w:w="576" w:type="dxa"/>
          </w:tcPr>
          <w:p w14:paraId="5C3E44C1" w14:textId="2405560E"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102</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11" w:type="dxa"/>
            <w:gridSpan w:val="20"/>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F02347" w14:paraId="4EFBE77A" w14:textId="77777777" w:rsidTr="00771C48">
        <w:tc>
          <w:tcPr>
            <w:tcW w:w="576" w:type="dxa"/>
            <w:vMerge w:val="restart"/>
          </w:tcPr>
          <w:p w14:paraId="0C2707E2" w14:textId="0E7436D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11" w:type="dxa"/>
            <w:gridSpan w:val="20"/>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F02347" w14:paraId="4F729073" w14:textId="2A4C1EC2" w:rsidTr="00B40BDD">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26" w:type="dxa"/>
            <w:gridSpan w:val="8"/>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F02347" w14:paraId="074DB69D" w14:textId="16F7AD89" w:rsidTr="00B40BDD">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F02347" w14:paraId="5D019A63" w14:textId="06382024" w:rsidTr="00B40BDD">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F02347" w14:paraId="026A2B4C" w14:textId="119E75F1" w:rsidTr="00B40BDD">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F02347" w14:paraId="0CE80E7D" w14:textId="0C882BEF" w:rsidTr="00B40BDD">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771C48">
        <w:tc>
          <w:tcPr>
            <w:tcW w:w="576" w:type="dxa"/>
            <w:vMerge w:val="restart"/>
          </w:tcPr>
          <w:p w14:paraId="30EC04EB" w14:textId="6D5431DC"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104</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11" w:type="dxa"/>
            <w:gridSpan w:val="20"/>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F02347" w14:paraId="06D5AB45" w14:textId="0EA14B75" w:rsidTr="00B40BDD">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50" w:type="dxa"/>
            <w:gridSpan w:val="11"/>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F02347" w14:paraId="28872D91" w14:textId="77777777" w:rsidTr="00B40BDD">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A4574F4" w14:textId="77777777" w:rsidR="00F02347" w:rsidRPr="000E7FB1" w:rsidRDefault="00F02347" w:rsidP="00F02347">
            <w:pPr>
              <w:jc w:val="both"/>
              <w:rPr>
                <w:rFonts w:ascii="Times New Roman" w:hAnsi="Times New Roman"/>
                <w:sz w:val="24"/>
                <w:szCs w:val="24"/>
                <w:lang w:eastAsia="uk-UA"/>
              </w:rPr>
            </w:pPr>
          </w:p>
        </w:tc>
        <w:tc>
          <w:tcPr>
            <w:tcW w:w="5350" w:type="dxa"/>
            <w:gridSpan w:val="11"/>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F02347" w14:paraId="2BDEED1D" w14:textId="20844956" w:rsidTr="00B40BDD">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771C48">
        <w:tc>
          <w:tcPr>
            <w:tcW w:w="576" w:type="dxa"/>
            <w:vMerge w:val="restart"/>
          </w:tcPr>
          <w:p w14:paraId="5CF41042" w14:textId="3B02C04D"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11" w:type="dxa"/>
            <w:gridSpan w:val="20"/>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F02347" w14:paraId="37E31850" w14:textId="0413B971" w:rsidTr="00B40BDD">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F02347" w14:paraId="641935CE" w14:textId="244A8C5A" w:rsidTr="00B40BDD">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F02347" w14:paraId="2AADA15A" w14:textId="4675068A" w:rsidTr="00B40BDD">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771C48">
        <w:tc>
          <w:tcPr>
            <w:tcW w:w="576" w:type="dxa"/>
            <w:vMerge w:val="restart"/>
          </w:tcPr>
          <w:p w14:paraId="0A3383C0" w14:textId="31409156"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342F1E">
              <w:rPr>
                <w:rFonts w:ascii="Times New Roman" w:hAnsi="Times New Roman"/>
                <w:sz w:val="24"/>
                <w:szCs w:val="24"/>
                <w:lang w:val="en-US" w:eastAsia="uk-UA"/>
              </w:rPr>
              <w:t>6</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11" w:type="dxa"/>
            <w:gridSpan w:val="20"/>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F02347" w14:paraId="751F78BC" w14:textId="57279961" w:rsidTr="00B40BDD">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F02347" w14:paraId="318CAF78" w14:textId="27B8ABA1" w:rsidTr="00B40BDD">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F02347" w14:paraId="039A0F18" w14:textId="0477F33E" w:rsidTr="00B40BDD">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771C48">
        <w:tc>
          <w:tcPr>
            <w:tcW w:w="576" w:type="dxa"/>
            <w:vMerge w:val="restart"/>
          </w:tcPr>
          <w:p w14:paraId="407DA441" w14:textId="50927A19"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07</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11" w:type="dxa"/>
            <w:gridSpan w:val="20"/>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F02347" w14:paraId="1BC4C090" w14:textId="10C045C8" w:rsidTr="00B40BDD">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370" w:type="dxa"/>
            <w:gridSpan w:val="13"/>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F02347" w14:paraId="3E1511FA" w14:textId="1E6C7FAC" w:rsidTr="00B40BDD">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F02347" w14:paraId="43F0E7C8" w14:textId="77777777" w:rsidTr="00B40BDD">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F02347" w14:paraId="4645673A" w14:textId="77777777" w:rsidTr="00B40BDD">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F02347" w14:paraId="45AFDEFF" w14:textId="77777777" w:rsidTr="00B40BDD">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F02347" w14:paraId="6B07CB11" w14:textId="77777777" w:rsidTr="00B40BDD">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029EA331" w14:textId="77777777" w:rsidTr="00B40BDD">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6608AF81" w14:textId="1761D686" w:rsidTr="00B40BDD">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F02347" w14:paraId="457CBFB1" w14:textId="333844AA" w:rsidTr="00B40BDD">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771C48">
        <w:tc>
          <w:tcPr>
            <w:tcW w:w="576" w:type="dxa"/>
            <w:vMerge w:val="restart"/>
          </w:tcPr>
          <w:p w14:paraId="05F8532F" w14:textId="5603C7CC" w:rsidR="00F02347" w:rsidRPr="000C1A85" w:rsidRDefault="00F02347" w:rsidP="00885C9F">
            <w:pPr>
              <w:jc w:val="center"/>
              <w:rPr>
                <w:rFonts w:ascii="Times New Roman" w:hAnsi="Times New Roman"/>
                <w:sz w:val="24"/>
                <w:szCs w:val="24"/>
                <w:lang w:val="en-US" w:eastAsia="uk-UA"/>
              </w:rPr>
            </w:pPr>
            <w:r>
              <w:rPr>
                <w:rFonts w:ascii="Times New Roman" w:hAnsi="Times New Roman"/>
                <w:sz w:val="24"/>
                <w:szCs w:val="24"/>
                <w:lang w:eastAsia="uk-UA"/>
              </w:rPr>
              <w:t>10</w:t>
            </w:r>
            <w:r w:rsidR="00342F1E">
              <w:rPr>
                <w:rFonts w:ascii="Times New Roman" w:hAnsi="Times New Roman"/>
                <w:sz w:val="24"/>
                <w:szCs w:val="24"/>
                <w:lang w:eastAsia="uk-UA"/>
              </w:rPr>
              <w:t>8</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11" w:type="dxa"/>
            <w:gridSpan w:val="20"/>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w:t>
            </w:r>
            <w:r w:rsidRPr="000E7FB1">
              <w:rPr>
                <w:rFonts w:ascii="Times New Roman" w:hAnsi="Times New Roman"/>
                <w:sz w:val="24"/>
                <w:szCs w:val="24"/>
                <w:lang w:eastAsia="uk-UA"/>
              </w:rPr>
              <w:lastRenderedPageBreak/>
              <w:t xml:space="preserve">за наданими кредитами овердрафт СГД та небанківським фінансовим установам </w:t>
            </w:r>
          </w:p>
        </w:tc>
      </w:tr>
      <w:tr w:rsidR="00F02347" w14:paraId="3BD782C6" w14:textId="395D3CF8" w:rsidTr="00B40BDD">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F02347" w14:paraId="1D151C4E" w14:textId="4B8E2823" w:rsidTr="00B40BDD">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F02347" w14:paraId="76E1E3E4" w14:textId="77777777" w:rsidTr="00B40BDD">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F02347" w14:paraId="6173AB34" w14:textId="071E49A5" w:rsidTr="00B40BDD">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F02347" w14:paraId="580224DB" w14:textId="1716F99D" w:rsidTr="00B40BDD">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F02347" w14:paraId="1CF13CDC" w14:textId="6EF85300" w:rsidTr="00B40BDD">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771C48">
        <w:tc>
          <w:tcPr>
            <w:tcW w:w="576" w:type="dxa"/>
            <w:vMerge w:val="restart"/>
          </w:tcPr>
          <w:p w14:paraId="6AE64112" w14:textId="0BD735C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11" w:type="dxa"/>
            <w:gridSpan w:val="20"/>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F02347" w14:paraId="2334C12E" w14:textId="54816DE7" w:rsidTr="00B40BDD">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F02347" w14:paraId="02D10F96" w14:textId="28C0999B" w:rsidTr="00B40BDD">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F02347" w14:paraId="34E68E3A" w14:textId="61129444" w:rsidTr="00B40BDD">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771C48">
        <w:tc>
          <w:tcPr>
            <w:tcW w:w="576" w:type="dxa"/>
            <w:vMerge w:val="restart"/>
          </w:tcPr>
          <w:p w14:paraId="74000DC5" w14:textId="085991E2"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10</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11" w:type="dxa"/>
            <w:gridSpan w:val="20"/>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F02347" w14:paraId="490F646A" w14:textId="23AF592B" w:rsidTr="00B40BDD">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89" w:type="dxa"/>
            <w:gridSpan w:val="14"/>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F02347" w14:paraId="5CB63055" w14:textId="5D121F8D" w:rsidTr="00B40BDD">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F02347" w14:paraId="45D1C531" w14:textId="03D31134" w:rsidTr="00B40BDD">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771C48">
        <w:tc>
          <w:tcPr>
            <w:tcW w:w="576" w:type="dxa"/>
            <w:vMerge w:val="restart"/>
          </w:tcPr>
          <w:p w14:paraId="12C79DE6" w14:textId="734B062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11</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11" w:type="dxa"/>
            <w:gridSpan w:val="20"/>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F02347" w14:paraId="5773F5C1" w14:textId="0F1521AE" w:rsidTr="00B40BDD">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F02347" w14:paraId="082BB29F" w14:textId="37BCE135" w:rsidTr="00B40BDD">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F02347" w14:paraId="610FDE03" w14:textId="36501BE3" w:rsidTr="00B40BDD">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771C48">
        <w:tc>
          <w:tcPr>
            <w:tcW w:w="576" w:type="dxa"/>
            <w:vMerge w:val="restart"/>
          </w:tcPr>
          <w:p w14:paraId="2C2FD136" w14:textId="0C53B79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12</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11" w:type="dxa"/>
            <w:gridSpan w:val="20"/>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F02347" w14:paraId="0152D699" w14:textId="36FC0AA5" w:rsidTr="00B40BDD">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89" w:type="dxa"/>
            <w:gridSpan w:val="14"/>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F02347" w14:paraId="5AA93424" w14:textId="26C364FB" w:rsidTr="00B40BDD">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F02347" w14:paraId="2E9D96AD" w14:textId="015828E4" w:rsidTr="00B40BDD">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771C48">
        <w:tc>
          <w:tcPr>
            <w:tcW w:w="576" w:type="dxa"/>
            <w:vMerge w:val="restart"/>
          </w:tcPr>
          <w:p w14:paraId="70BEA13A" w14:textId="250BBEB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11" w:type="dxa"/>
            <w:gridSpan w:val="20"/>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F02347" w14:paraId="2FA5C7C0" w14:textId="0F9C319D" w:rsidTr="00B40BDD">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F02347" w14:paraId="2EA303D8" w14:textId="77777777" w:rsidTr="00B40BDD">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F02347" w14:paraId="0C638080" w14:textId="77777777" w:rsidTr="00B40BDD">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F02347" w14:paraId="4AEC2437" w14:textId="77777777" w:rsidTr="00B40BDD">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F02347" w14:paraId="63A70741" w14:textId="77777777" w:rsidTr="00B40BDD">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F02347" w14:paraId="270DDF75" w14:textId="77777777" w:rsidTr="00B40BDD">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F02347" w14:paraId="0C695014" w14:textId="77777777" w:rsidTr="00B40BDD">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F02347" w14:paraId="428E3DDA" w14:textId="77777777" w:rsidTr="00B40BDD">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F02347" w14:paraId="2CCB7CDC" w14:textId="5062C334" w:rsidTr="00B40BDD">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F02347" w14:paraId="2B3220AC" w14:textId="3AC7049A" w:rsidTr="00B40BDD">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F02347" w14:paraId="2D005527" w14:textId="60571534" w:rsidTr="00B40BDD">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771C48">
        <w:tc>
          <w:tcPr>
            <w:tcW w:w="576" w:type="dxa"/>
            <w:vMerge w:val="restart"/>
          </w:tcPr>
          <w:p w14:paraId="7985F140" w14:textId="40B8561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11" w:type="dxa"/>
            <w:gridSpan w:val="20"/>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F02347" w14:paraId="5DF5C708" w14:textId="5C73AF0E" w:rsidTr="00105093">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F02347" w14:paraId="3072960E" w14:textId="77777777" w:rsidTr="00105093">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F02347" w14:paraId="6587E27C" w14:textId="77777777" w:rsidTr="00105093">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F02347" w14:paraId="5FF1F9A2" w14:textId="77777777" w:rsidTr="00105093">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F02347" w14:paraId="75357D37" w14:textId="34436E5C" w:rsidTr="00105093">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F02347" w14:paraId="398EADD2" w14:textId="311F83D7" w:rsidTr="00105093">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771C48">
        <w:tc>
          <w:tcPr>
            <w:tcW w:w="576" w:type="dxa"/>
            <w:vMerge w:val="restart"/>
          </w:tcPr>
          <w:p w14:paraId="544115DD" w14:textId="7441909A"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11" w:type="dxa"/>
            <w:gridSpan w:val="20"/>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F02347" w14:paraId="35A99EBD" w14:textId="388CD05B" w:rsidTr="00105093">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F02347" w14:paraId="7AC76826" w14:textId="77777777" w:rsidTr="00105093">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F02347" w14:paraId="67DEE621" w14:textId="77777777" w:rsidTr="00105093">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F02347" w14:paraId="3B7431DC" w14:textId="77777777" w:rsidTr="00105093">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F02347" w14:paraId="553D4C07" w14:textId="4AF7C59F" w:rsidTr="00105093">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F02347" w14:paraId="6B666768" w14:textId="739743C7" w:rsidTr="00105093">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771C48">
        <w:tc>
          <w:tcPr>
            <w:tcW w:w="576" w:type="dxa"/>
            <w:vMerge w:val="restart"/>
          </w:tcPr>
          <w:p w14:paraId="39322E63" w14:textId="1F294B32"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342F1E">
              <w:rPr>
                <w:rFonts w:ascii="Times New Roman" w:hAnsi="Times New Roman"/>
                <w:sz w:val="24"/>
                <w:szCs w:val="24"/>
                <w:lang w:val="en-US" w:eastAsia="uk-UA"/>
              </w:rPr>
              <w:t>6</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11" w:type="dxa"/>
            <w:gridSpan w:val="20"/>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F02347" w14:paraId="1BDABC51" w14:textId="469DC9E2" w:rsidTr="00105093">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F02347" w14:paraId="2D5B30C8" w14:textId="77777777" w:rsidTr="00105093">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F02347" w14:paraId="05173034" w14:textId="77777777" w:rsidTr="00105093">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F02347" w14:paraId="23BE22BF" w14:textId="2B50D0F6" w:rsidTr="00105093">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F02347" w14:paraId="64159EB1" w14:textId="77777777" w:rsidTr="00105093">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F02347" w14:paraId="7303D8CC" w14:textId="77777777" w:rsidTr="00105093">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F02347" w14:paraId="3796EB0D" w14:textId="500887D1" w:rsidTr="00105093">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771C48">
        <w:tc>
          <w:tcPr>
            <w:tcW w:w="576" w:type="dxa"/>
            <w:vMerge w:val="restart"/>
          </w:tcPr>
          <w:p w14:paraId="16F44C34" w14:textId="771E118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vMerge w:val="restart"/>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F02347" w:rsidRPr="00301867" w:rsidRDefault="00F02347" w:rsidP="00F02347">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20"/>
          </w:tcPr>
          <w:p w14:paraId="4285BF1A" w14:textId="77777777" w:rsidR="00F02347" w:rsidRPr="00E125EA" w:rsidRDefault="00F02347" w:rsidP="00F02347">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E125EA">
              <w:rPr>
                <w:rFonts w:ascii="Times New Roman" w:hAnsi="Times New Roman"/>
                <w:b/>
                <w:sz w:val="24"/>
                <w:szCs w:val="24"/>
                <w:lang w:eastAsia="uk-UA"/>
              </w:rPr>
              <w:t>ескроу</w:t>
            </w:r>
            <w:proofErr w:type="spellEnd"/>
            <w:r w:rsidRPr="00E125EA">
              <w:rPr>
                <w:rFonts w:ascii="Times New Roman" w:hAnsi="Times New Roman"/>
                <w:b/>
                <w:sz w:val="24"/>
                <w:szCs w:val="24"/>
                <w:lang w:eastAsia="uk-UA"/>
              </w:rPr>
              <w:t>)]</w:t>
            </w:r>
          </w:p>
          <w:p w14:paraId="6200BA41" w14:textId="36A90C78" w:rsidR="00F02347" w:rsidRPr="00956204" w:rsidRDefault="00F02347" w:rsidP="00F02347">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xml:space="preserve">)] в національній валюті </w:t>
            </w:r>
          </w:p>
        </w:tc>
      </w:tr>
      <w:tr w:rsidR="00F02347" w14:paraId="4A636D37" w14:textId="75336E8E" w:rsidTr="00956204">
        <w:tc>
          <w:tcPr>
            <w:tcW w:w="576" w:type="dxa"/>
            <w:vMerge/>
          </w:tcPr>
          <w:p w14:paraId="0BE072E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A3D4F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2ED10A"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val="restart"/>
          </w:tcPr>
          <w:p w14:paraId="43165263" w14:textId="391635A6" w:rsidR="00F02347" w:rsidRPr="00E125EA" w:rsidRDefault="00F02347" w:rsidP="00F02347">
            <w:pPr>
              <w:jc w:val="both"/>
              <w:rPr>
                <w:rFonts w:ascii="Times New Roman" w:hAnsi="Times New Roman"/>
                <w:b/>
                <w:sz w:val="24"/>
                <w:szCs w:val="24"/>
                <w:lang w:eastAsia="uk-UA"/>
              </w:rPr>
            </w:pPr>
            <w:r w:rsidRPr="00965185">
              <w:rPr>
                <w:rFonts w:ascii="Times New Roman" w:hAnsi="Times New Roman"/>
                <w:sz w:val="24"/>
                <w:szCs w:val="24"/>
                <w:lang w:eastAsia="uk-UA"/>
              </w:rPr>
              <w:t>за балансовими рахунками (частково)</w:t>
            </w:r>
            <w:r>
              <w:rPr>
                <w:rFonts w:ascii="Times New Roman" w:hAnsi="Times New Roman"/>
                <w:sz w:val="24"/>
                <w:szCs w:val="24"/>
                <w:lang w:eastAsia="uk-UA"/>
              </w:rPr>
              <w:t>:</w:t>
            </w:r>
          </w:p>
        </w:tc>
        <w:tc>
          <w:tcPr>
            <w:tcW w:w="5359" w:type="dxa"/>
            <w:gridSpan w:val="12"/>
          </w:tcPr>
          <w:p w14:paraId="51253219" w14:textId="2093200A"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R020(1200)/T020(1)</w:t>
            </w:r>
          </w:p>
        </w:tc>
      </w:tr>
      <w:tr w:rsidR="00F02347" w14:paraId="7BFA947E" w14:textId="07D292FB" w:rsidTr="00956204">
        <w:tc>
          <w:tcPr>
            <w:tcW w:w="576" w:type="dxa"/>
            <w:vMerge/>
          </w:tcPr>
          <w:p w14:paraId="3D6E55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D360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2612C7"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tcPr>
          <w:p w14:paraId="23AB4173" w14:textId="77777777" w:rsidR="00F02347" w:rsidRPr="00E125EA" w:rsidRDefault="00F02347" w:rsidP="00F02347">
            <w:pPr>
              <w:jc w:val="both"/>
              <w:rPr>
                <w:rFonts w:ascii="Times New Roman" w:hAnsi="Times New Roman"/>
                <w:b/>
                <w:sz w:val="24"/>
                <w:szCs w:val="24"/>
                <w:lang w:eastAsia="uk-UA"/>
              </w:rPr>
            </w:pPr>
          </w:p>
        </w:tc>
        <w:tc>
          <w:tcPr>
            <w:tcW w:w="5359" w:type="dxa"/>
            <w:gridSpan w:val="12"/>
          </w:tcPr>
          <w:p w14:paraId="345D5BC9" w14:textId="1AB98C55"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F02347" w14:paraId="357985B8" w14:textId="77777777" w:rsidTr="00771C48">
        <w:tc>
          <w:tcPr>
            <w:tcW w:w="576" w:type="dxa"/>
            <w:vMerge/>
          </w:tcPr>
          <w:p w14:paraId="1C9454C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84B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DC919C"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5ACAE9D5" w14:textId="50F83A96" w:rsidR="00F02347" w:rsidRPr="00956204" w:rsidRDefault="00F02347" w:rsidP="00F02347">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F02347" w14:paraId="03BD4E8B" w14:textId="77777777" w:rsidTr="00771C48">
        <w:tc>
          <w:tcPr>
            <w:tcW w:w="576" w:type="dxa"/>
            <w:vMerge/>
          </w:tcPr>
          <w:p w14:paraId="5DCF186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CE933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6C01F7"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4F9434E0" w14:textId="355C5333"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1D7F5F" w14:paraId="5F775CCC" w14:textId="77777777" w:rsidTr="00771C48">
        <w:tc>
          <w:tcPr>
            <w:tcW w:w="576" w:type="dxa"/>
            <w:vMerge w:val="restart"/>
          </w:tcPr>
          <w:p w14:paraId="038F0F05" w14:textId="176A9A94" w:rsidR="001D7F5F" w:rsidRPr="007903B4" w:rsidRDefault="001D7F5F" w:rsidP="00F02347">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11</w:t>
            </w:r>
            <w:r>
              <w:rPr>
                <w:rFonts w:ascii="Times New Roman" w:hAnsi="Times New Roman"/>
                <w:sz w:val="24"/>
                <w:szCs w:val="24"/>
                <w:lang w:val="en-US" w:eastAsia="uk-UA"/>
              </w:rPr>
              <w:t>8</w:t>
            </w:r>
          </w:p>
        </w:tc>
        <w:tc>
          <w:tcPr>
            <w:tcW w:w="2138" w:type="dxa"/>
            <w:vMerge w:val="restart"/>
          </w:tcPr>
          <w:p w14:paraId="223FE9E4" w14:textId="4D55E077" w:rsidR="001D7F5F" w:rsidRPr="000E7FB1" w:rsidRDefault="001D7F5F"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1D7F5F" w:rsidRPr="00087AEA" w:rsidRDefault="001D7F5F"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11" w:type="dxa"/>
            <w:gridSpan w:val="20"/>
          </w:tcPr>
          <w:p w14:paraId="5D2E9783" w14:textId="7B720A89" w:rsidR="001D7F5F" w:rsidRPr="000E7FB1" w:rsidRDefault="001D7F5F"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p>
        </w:tc>
      </w:tr>
      <w:tr w:rsidR="001D7F5F" w14:paraId="1AC13414" w14:textId="77777777" w:rsidTr="001D7F5F">
        <w:trPr>
          <w:trHeight w:val="564"/>
        </w:trPr>
        <w:tc>
          <w:tcPr>
            <w:tcW w:w="576" w:type="dxa"/>
            <w:vMerge/>
          </w:tcPr>
          <w:p w14:paraId="012FE0A5" w14:textId="77777777" w:rsidR="001D7F5F" w:rsidRPr="007903B4" w:rsidRDefault="001D7F5F" w:rsidP="00F02347">
            <w:pPr>
              <w:jc w:val="center"/>
              <w:rPr>
                <w:rFonts w:ascii="Times New Roman" w:hAnsi="Times New Roman"/>
                <w:sz w:val="24"/>
                <w:szCs w:val="24"/>
                <w:lang w:eastAsia="uk-UA"/>
              </w:rPr>
            </w:pPr>
          </w:p>
        </w:tc>
        <w:tc>
          <w:tcPr>
            <w:tcW w:w="2138" w:type="dxa"/>
            <w:vMerge/>
          </w:tcPr>
          <w:p w14:paraId="24C9C7F3" w14:textId="77777777" w:rsidR="001D7F5F" w:rsidRPr="000E7FB1" w:rsidRDefault="001D7F5F" w:rsidP="00F02347">
            <w:pPr>
              <w:jc w:val="center"/>
              <w:rPr>
                <w:rFonts w:ascii="Times New Roman" w:hAnsi="Times New Roman"/>
                <w:sz w:val="24"/>
                <w:szCs w:val="24"/>
                <w:lang w:eastAsia="uk-UA"/>
              </w:rPr>
            </w:pPr>
          </w:p>
        </w:tc>
        <w:tc>
          <w:tcPr>
            <w:tcW w:w="1285" w:type="dxa"/>
            <w:vMerge/>
          </w:tcPr>
          <w:p w14:paraId="6C087CFC" w14:textId="77777777" w:rsidR="001D7F5F" w:rsidRPr="000E7FB1" w:rsidRDefault="001D7F5F" w:rsidP="00F02347">
            <w:pPr>
              <w:jc w:val="center"/>
              <w:rPr>
                <w:rFonts w:ascii="Times New Roman" w:hAnsi="Times New Roman"/>
                <w:sz w:val="24"/>
                <w:szCs w:val="24"/>
                <w:lang w:eastAsia="uk-UA"/>
              </w:rPr>
            </w:pPr>
          </w:p>
        </w:tc>
        <w:tc>
          <w:tcPr>
            <w:tcW w:w="1675" w:type="dxa"/>
            <w:gridSpan w:val="2"/>
            <w:vMerge w:val="restart"/>
          </w:tcPr>
          <w:p w14:paraId="14E7A5C4" w14:textId="11B86C44" w:rsidR="001D7F5F" w:rsidRPr="000E7FB1" w:rsidRDefault="001D7F5F"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8"/>
          </w:tcPr>
          <w:p w14:paraId="1CAFAE5F" w14:textId="1831060B" w:rsidR="001D7F5F" w:rsidRPr="001D7F5F" w:rsidRDefault="001D7F5F" w:rsidP="001D7F5F">
            <w:pPr>
              <w:jc w:val="both"/>
              <w:rPr>
                <w:rFonts w:ascii="Times New Roman" w:hAnsi="Times New Roman"/>
                <w:sz w:val="24"/>
                <w:szCs w:val="24"/>
                <w:lang w:eastAsia="uk-UA"/>
              </w:rPr>
            </w:pPr>
            <w:r w:rsidRPr="001D7F5F">
              <w:rPr>
                <w:rFonts w:ascii="Times New Roman" w:hAnsi="Times New Roman"/>
                <w:bCs/>
                <w:sz w:val="24"/>
                <w:szCs w:val="24"/>
                <w:lang w:eastAsia="uk-UA"/>
              </w:rPr>
              <w:t>R020(1205)/T020(1)</w:t>
            </w:r>
          </w:p>
        </w:tc>
      </w:tr>
      <w:tr w:rsidR="001D7F5F" w14:paraId="4FD41E15" w14:textId="77777777" w:rsidTr="00087AEA">
        <w:trPr>
          <w:trHeight w:val="564"/>
        </w:trPr>
        <w:tc>
          <w:tcPr>
            <w:tcW w:w="576" w:type="dxa"/>
            <w:vMerge/>
          </w:tcPr>
          <w:p w14:paraId="729BE1F8" w14:textId="77777777" w:rsidR="001D7F5F" w:rsidRPr="007903B4" w:rsidRDefault="001D7F5F" w:rsidP="00F02347">
            <w:pPr>
              <w:jc w:val="center"/>
              <w:rPr>
                <w:rFonts w:ascii="Times New Roman" w:hAnsi="Times New Roman"/>
                <w:sz w:val="24"/>
                <w:szCs w:val="24"/>
                <w:lang w:eastAsia="uk-UA"/>
              </w:rPr>
            </w:pPr>
          </w:p>
        </w:tc>
        <w:tc>
          <w:tcPr>
            <w:tcW w:w="2138" w:type="dxa"/>
            <w:vMerge/>
          </w:tcPr>
          <w:p w14:paraId="6138D0BE" w14:textId="77777777" w:rsidR="001D7F5F" w:rsidRPr="000E7FB1" w:rsidRDefault="001D7F5F" w:rsidP="00F02347">
            <w:pPr>
              <w:jc w:val="center"/>
              <w:rPr>
                <w:rFonts w:ascii="Times New Roman" w:hAnsi="Times New Roman"/>
                <w:sz w:val="24"/>
                <w:szCs w:val="24"/>
                <w:lang w:eastAsia="uk-UA"/>
              </w:rPr>
            </w:pPr>
          </w:p>
        </w:tc>
        <w:tc>
          <w:tcPr>
            <w:tcW w:w="1285" w:type="dxa"/>
            <w:vMerge/>
          </w:tcPr>
          <w:p w14:paraId="5BACE75B" w14:textId="77777777" w:rsidR="001D7F5F" w:rsidRPr="000E7FB1" w:rsidRDefault="001D7F5F" w:rsidP="00F02347">
            <w:pPr>
              <w:jc w:val="center"/>
              <w:rPr>
                <w:rFonts w:ascii="Times New Roman" w:hAnsi="Times New Roman"/>
                <w:sz w:val="24"/>
                <w:szCs w:val="24"/>
                <w:lang w:eastAsia="uk-UA"/>
              </w:rPr>
            </w:pPr>
          </w:p>
        </w:tc>
        <w:tc>
          <w:tcPr>
            <w:tcW w:w="1675" w:type="dxa"/>
            <w:gridSpan w:val="2"/>
            <w:vMerge/>
          </w:tcPr>
          <w:p w14:paraId="13348233" w14:textId="77777777" w:rsidR="001D7F5F" w:rsidRPr="00EC362C" w:rsidRDefault="001D7F5F" w:rsidP="00F02347">
            <w:pPr>
              <w:jc w:val="both"/>
              <w:rPr>
                <w:rFonts w:ascii="Times New Roman" w:hAnsi="Times New Roman"/>
                <w:sz w:val="24"/>
                <w:szCs w:val="24"/>
                <w:lang w:eastAsia="uk-UA"/>
              </w:rPr>
            </w:pPr>
          </w:p>
        </w:tc>
        <w:tc>
          <w:tcPr>
            <w:tcW w:w="5436" w:type="dxa"/>
            <w:gridSpan w:val="18"/>
          </w:tcPr>
          <w:p w14:paraId="6073A6D5" w14:textId="5E79F37D" w:rsidR="001D7F5F" w:rsidRPr="000E7FB1" w:rsidRDefault="001D7F5F" w:rsidP="00F02347">
            <w:pPr>
              <w:jc w:val="both"/>
              <w:rPr>
                <w:rFonts w:ascii="Times New Roman" w:hAnsi="Times New Roman"/>
                <w:b/>
                <w:sz w:val="24"/>
                <w:szCs w:val="24"/>
                <w:lang w:eastAsia="uk-UA"/>
              </w:rPr>
            </w:pPr>
            <w:r w:rsidRPr="001D7F5F">
              <w:rPr>
                <w:rFonts w:ascii="Times New Roman" w:hAnsi="Times New Roman"/>
                <w:bCs/>
                <w:sz w:val="24"/>
                <w:szCs w:val="24"/>
                <w:lang w:eastAsia="uk-UA"/>
              </w:rPr>
              <w:t>R020(1206)/T020(1)</w:t>
            </w:r>
          </w:p>
        </w:tc>
      </w:tr>
      <w:tr w:rsidR="00F02347" w14:paraId="6E58BA98" w14:textId="77777777" w:rsidTr="00771C48">
        <w:tc>
          <w:tcPr>
            <w:tcW w:w="576" w:type="dxa"/>
            <w:vMerge w:val="restart"/>
          </w:tcPr>
          <w:p w14:paraId="1280CC33" w14:textId="206D249F" w:rsidR="00F02347" w:rsidRPr="00087AEA" w:rsidRDefault="00F02347" w:rsidP="00087AEA">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087AEA">
              <w:rPr>
                <w:rFonts w:ascii="Times New Roman" w:hAnsi="Times New Roman"/>
                <w:sz w:val="24"/>
                <w:szCs w:val="24"/>
                <w:lang w:val="en-US" w:eastAsia="uk-UA"/>
              </w:rPr>
              <w:t>9</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11" w:type="dxa"/>
            <w:gridSpan w:val="20"/>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F02347" w14:paraId="2E38E03B" w14:textId="68E97153" w:rsidTr="00695F63">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243"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695F63">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243"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695F63">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243"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771C48">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7F09FF43" w14:textId="65B05C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F02347" w14:paraId="3F8E3D9A" w14:textId="77777777" w:rsidTr="00771C48">
        <w:tc>
          <w:tcPr>
            <w:tcW w:w="576" w:type="dxa"/>
            <w:vMerge w:val="restart"/>
          </w:tcPr>
          <w:p w14:paraId="5CFB3DFF" w14:textId="2903783F" w:rsidR="00F02347" w:rsidRPr="00E71F28" w:rsidRDefault="00087AEA" w:rsidP="00F02347">
            <w:pPr>
              <w:jc w:val="center"/>
              <w:rPr>
                <w:rFonts w:ascii="Times New Roman" w:hAnsi="Times New Roman"/>
                <w:sz w:val="24"/>
                <w:szCs w:val="24"/>
                <w:lang w:val="en-US" w:eastAsia="uk-UA"/>
              </w:rPr>
            </w:pPr>
            <w:r>
              <w:rPr>
                <w:rFonts w:ascii="Times New Roman" w:hAnsi="Times New Roman"/>
                <w:sz w:val="24"/>
                <w:szCs w:val="24"/>
                <w:lang w:eastAsia="uk-UA"/>
              </w:rPr>
              <w:t>120</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11" w:type="dxa"/>
            <w:gridSpan w:val="20"/>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0FC845E2" w:rsidR="00F02347" w:rsidRPr="000E7FB1" w:rsidRDefault="00F02347" w:rsidP="00342F1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 xml:space="preserve">не нижче інвестиційного класу”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4E9F6B79" w14:textId="79C1B5AC" w:rsidTr="00105093">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771C48">
        <w:tc>
          <w:tcPr>
            <w:tcW w:w="576" w:type="dxa"/>
            <w:vMerge w:val="restart"/>
          </w:tcPr>
          <w:p w14:paraId="4EDE1C8E" w14:textId="47EDDBFF"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21</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11" w:type="dxa"/>
            <w:gridSpan w:val="20"/>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0186185B" w:rsidR="00F02347" w:rsidRPr="000E7FB1" w:rsidRDefault="00F02347" w:rsidP="001B4FBD">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включена до розрахунку показників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 xml:space="preserve"> 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0F322FA4" w14:textId="2700FA1F" w:rsidTr="00105093">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771C48">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649BE651" w14:textId="3E51AC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F02347" w14:paraId="7A093274" w14:textId="77777777" w:rsidTr="00771C48">
        <w:tc>
          <w:tcPr>
            <w:tcW w:w="576" w:type="dxa"/>
            <w:vMerge w:val="restart"/>
          </w:tcPr>
          <w:p w14:paraId="0469F5D9" w14:textId="44E0EE16"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22</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11" w:type="dxa"/>
            <w:gridSpan w:val="20"/>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F02347" w14:paraId="4B1FD9BD" w14:textId="1C6EA9FC" w:rsidTr="00105093">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771C48">
        <w:tc>
          <w:tcPr>
            <w:tcW w:w="576" w:type="dxa"/>
            <w:vMerge w:val="restart"/>
          </w:tcPr>
          <w:p w14:paraId="4DE18154" w14:textId="3431852E"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23</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11" w:type="dxa"/>
            <w:gridSpan w:val="20"/>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A6CAA1B" w14:textId="4123D5A8" w:rsidTr="00105093">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F02347" w14:paraId="299DDF1D" w14:textId="4DD5EB66" w:rsidTr="00105093">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771C48">
        <w:tc>
          <w:tcPr>
            <w:tcW w:w="576" w:type="dxa"/>
            <w:vMerge w:val="restart"/>
          </w:tcPr>
          <w:p w14:paraId="65AEE622" w14:textId="7C26C7E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4</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11" w:type="dxa"/>
            <w:gridSpan w:val="20"/>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3E2896C" w14:textId="35A6F792" w:rsidTr="00105093">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F02347" w14:paraId="658B1B7C" w14:textId="77777777" w:rsidTr="00105093">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F02347" w14:paraId="74930165" w14:textId="77777777" w:rsidTr="00105093">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F02347" w14:paraId="1B568C8C" w14:textId="77777777" w:rsidTr="00105093">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F02347" w14:paraId="22985BDA" w14:textId="45A7FBEE" w:rsidTr="00105093">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F02347" w14:paraId="5658940F" w14:textId="7299A2A1" w:rsidTr="00105093">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771C48">
        <w:tc>
          <w:tcPr>
            <w:tcW w:w="576" w:type="dxa"/>
            <w:vMerge w:val="restart"/>
          </w:tcPr>
          <w:p w14:paraId="0273E8C5" w14:textId="75EB512E"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5</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11" w:type="dxa"/>
            <w:gridSpan w:val="20"/>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F02347" w14:paraId="3BFE6BF0" w14:textId="27FECCBA" w:rsidTr="00105093">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436" w:type="dxa"/>
            <w:gridSpan w:val="18"/>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771C48">
        <w:tc>
          <w:tcPr>
            <w:tcW w:w="576" w:type="dxa"/>
            <w:vMerge w:val="restart"/>
          </w:tcPr>
          <w:p w14:paraId="48D8DC7A" w14:textId="71761AB2"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11" w:type="dxa"/>
            <w:gridSpan w:val="20"/>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F02347" w14:paraId="527BE5DC" w14:textId="1D4643C7" w:rsidTr="00105093">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F02347" w14:paraId="41654C00" w14:textId="7F99288E" w:rsidTr="00105093">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F02347" w14:paraId="2C4DAC0A" w14:textId="718E5F45" w:rsidTr="00105093">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771C48">
        <w:tc>
          <w:tcPr>
            <w:tcW w:w="576" w:type="dxa"/>
            <w:vMerge w:val="restart"/>
          </w:tcPr>
          <w:p w14:paraId="2E450A16" w14:textId="086B62D6" w:rsidR="00F02347" w:rsidRPr="00FB62B0"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127</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11" w:type="dxa"/>
            <w:gridSpan w:val="20"/>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F02347" w14:paraId="62F7CD30" w14:textId="1B21C38F" w:rsidTr="00105093">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F02347" w14:paraId="21389D3F" w14:textId="77777777" w:rsidTr="00105093">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F02347" w14:paraId="3AE23C7B" w14:textId="77777777" w:rsidTr="00105093">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F02347" w14:paraId="191F8554" w14:textId="77777777" w:rsidTr="00105093">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F02347" w14:paraId="728392F8" w14:textId="37BE1B19" w:rsidTr="00105093">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F02347" w14:paraId="4DC36EFD" w14:textId="6577B551" w:rsidTr="00105093">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F02347" w14:paraId="1268814E" w14:textId="719ADAC9" w:rsidTr="00105093">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771C48">
        <w:tc>
          <w:tcPr>
            <w:tcW w:w="576" w:type="dxa"/>
            <w:vMerge w:val="restart"/>
          </w:tcPr>
          <w:p w14:paraId="1F718A79" w14:textId="2403EDB6"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128</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11" w:type="dxa"/>
            <w:gridSpan w:val="20"/>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w:t>
            </w:r>
            <w:r w:rsidRPr="000E7FB1">
              <w:rPr>
                <w:rFonts w:ascii="Times New Roman" w:hAnsi="Times New Roman"/>
                <w:sz w:val="24"/>
                <w:szCs w:val="24"/>
                <w:lang w:eastAsia="uk-UA"/>
              </w:rPr>
              <w:lastRenderedPageBreak/>
              <w:t>“Сума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F02347" w14:paraId="7B7A850B" w14:textId="3FB2DB97" w:rsidTr="00105093">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F02347" w14:paraId="35A21F70" w14:textId="77777777" w:rsidTr="00105093">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F02347" w14:paraId="0E6F32AC" w14:textId="77777777" w:rsidTr="00105093">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F02347" w14:paraId="54296393" w14:textId="77777777" w:rsidTr="00105093">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F02347" w14:paraId="1FC6A020" w14:textId="77777777" w:rsidTr="00105093">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F02347" w14:paraId="7A8DC4BA" w14:textId="77777777" w:rsidTr="00105093">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F02347" w14:paraId="1CE28088" w14:textId="77777777" w:rsidTr="00105093">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F02347" w14:paraId="682C1CAD" w14:textId="77777777" w:rsidTr="00105093">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F02347" w14:paraId="7E7401F0" w14:textId="77777777" w:rsidTr="00105093">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F02347" w14:paraId="59DE8C1E" w14:textId="77777777" w:rsidTr="00105093">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F02347" w14:paraId="131DFB4F" w14:textId="77777777" w:rsidTr="00105093">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F02347" w14:paraId="71F25653" w14:textId="77777777" w:rsidTr="00105093">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F02347" w14:paraId="0037D76C" w14:textId="77777777" w:rsidTr="00105093">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F02347" w14:paraId="56C6B76B" w14:textId="77777777" w:rsidTr="00105093">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F02347" w14:paraId="1ECD4830" w14:textId="0036216D" w:rsidTr="00105093">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F02347" w14:paraId="7247AEF2" w14:textId="77777777" w:rsidTr="00105093">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F02347" w14:paraId="56EB21F6" w14:textId="77777777" w:rsidTr="00105093">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F02347" w14:paraId="49862406" w14:textId="77777777" w:rsidTr="00105093">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F02347" w14:paraId="45528D54" w14:textId="77777777" w:rsidTr="00105093">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F02347" w14:paraId="3E1BB685" w14:textId="77777777" w:rsidTr="00105093">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F02347" w14:paraId="1D1ACEA0" w14:textId="77777777" w:rsidTr="00105093">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F02347" w14:paraId="32C76CDA" w14:textId="77777777" w:rsidTr="00105093">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F02347" w14:paraId="098B4D7D" w14:textId="77777777" w:rsidTr="00105093">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F02347" w14:paraId="4E19264D" w14:textId="77777777" w:rsidTr="00105093">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F02347" w14:paraId="5838BA99" w14:textId="77777777" w:rsidTr="00105093">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F02347" w14:paraId="1DC261A3" w14:textId="77777777" w:rsidTr="00105093">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F02347" w14:paraId="5BFC314C" w14:textId="77777777" w:rsidTr="00105093">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F02347" w14:paraId="1BC05742" w14:textId="77777777" w:rsidTr="00105093">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F02347" w14:paraId="67242341" w14:textId="77777777" w:rsidTr="00105093">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F02347" w14:paraId="13CD3B4E" w14:textId="77777777" w:rsidTr="00105093">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F02347" w14:paraId="4A613DF5" w14:textId="24249B20" w:rsidTr="00105093">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F02347" w14:paraId="77FCCD1B" w14:textId="3399CC23" w:rsidTr="00105093">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F02347" w14:paraId="71936ACC" w14:textId="1AC77F62" w:rsidTr="00105093">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771C48">
        <w:tc>
          <w:tcPr>
            <w:tcW w:w="576" w:type="dxa"/>
            <w:vMerge w:val="restart"/>
          </w:tcPr>
          <w:p w14:paraId="7F539CF2" w14:textId="16EBF690"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9</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11" w:type="dxa"/>
            <w:gridSpan w:val="20"/>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F02347" w14:paraId="51F7CC8B" w14:textId="23EDF2E3" w:rsidTr="00105093">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1C9DD78F" w14:textId="23505A6A" w:rsidTr="00105093">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771C48">
        <w:tc>
          <w:tcPr>
            <w:tcW w:w="576" w:type="dxa"/>
            <w:vMerge w:val="restart"/>
          </w:tcPr>
          <w:p w14:paraId="50A3496B" w14:textId="1DE8DD49" w:rsidR="00F02347" w:rsidRPr="00E71F28" w:rsidRDefault="00087AEA" w:rsidP="00F02347">
            <w:pPr>
              <w:jc w:val="center"/>
              <w:rPr>
                <w:rFonts w:ascii="Times New Roman" w:hAnsi="Times New Roman"/>
                <w:sz w:val="24"/>
                <w:szCs w:val="24"/>
                <w:lang w:val="en-US" w:eastAsia="uk-UA"/>
              </w:rPr>
            </w:pPr>
            <w:r>
              <w:rPr>
                <w:rFonts w:ascii="Times New Roman" w:hAnsi="Times New Roman"/>
                <w:sz w:val="24"/>
                <w:szCs w:val="24"/>
                <w:lang w:eastAsia="uk-UA"/>
              </w:rPr>
              <w:t>130</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11" w:type="dxa"/>
            <w:gridSpan w:val="20"/>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w:t>
            </w:r>
            <w:r w:rsidRPr="000E7FB1">
              <w:rPr>
                <w:rFonts w:ascii="Times New Roman" w:hAnsi="Times New Roman"/>
                <w:b/>
                <w:sz w:val="24"/>
                <w:szCs w:val="24"/>
                <w:lang w:eastAsia="uk-UA"/>
              </w:rPr>
              <w:lastRenderedPageBreak/>
              <w:t xml:space="preserve">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F02347" w14:paraId="167F15E6" w14:textId="0260D6F6" w:rsidTr="00105093">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F02347" w14:paraId="64E5AFD1" w14:textId="77777777" w:rsidTr="00105093">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F02347" w14:paraId="212DA851" w14:textId="77777777" w:rsidTr="00105093">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F02347" w14:paraId="57895304" w14:textId="77777777" w:rsidTr="00105093">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F02347" w14:paraId="070DF271" w14:textId="77777777" w:rsidTr="00105093">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F02347" w14:paraId="1124514A" w14:textId="77777777" w:rsidTr="00105093">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4636A4D9" w14:textId="77777777" w:rsidTr="00105093">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3E39978" w14:textId="77777777" w:rsidTr="00105093">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F02347" w14:paraId="36A9F162" w14:textId="77777777" w:rsidTr="00105093">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F02347" w14:paraId="05E03860" w14:textId="77777777" w:rsidTr="00105093">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F02347" w14:paraId="0B6E540E" w14:textId="77777777" w:rsidTr="00105093">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F02347" w14:paraId="335F42A0" w14:textId="77777777" w:rsidTr="00105093">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0BD97002" w14:textId="77777777" w:rsidTr="00105093">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2AE2844" w14:textId="77777777" w:rsidTr="00105093">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0D2DC3D3" w14:textId="77777777" w:rsidTr="00105093">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24BF1F93" w14:textId="77777777" w:rsidTr="00105093">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F02347" w14:paraId="0765A86A" w14:textId="58CF299F" w:rsidTr="00105093">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F02347" w14:paraId="64B3FE6C" w14:textId="049A59DE" w:rsidTr="00105093">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771C48">
        <w:tc>
          <w:tcPr>
            <w:tcW w:w="576" w:type="dxa"/>
            <w:vMerge w:val="restart"/>
          </w:tcPr>
          <w:p w14:paraId="13D4AAE7" w14:textId="3B852D4E" w:rsidR="00F02347" w:rsidRPr="00C532E9"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131</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11" w:type="dxa"/>
            <w:gridSpan w:val="20"/>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F02347" w14:paraId="3C19582B" w14:textId="2231F996" w:rsidTr="00105093">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23A850DD" w14:textId="40C52CC2" w:rsidTr="00105093">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771C48">
        <w:tc>
          <w:tcPr>
            <w:tcW w:w="576" w:type="dxa"/>
            <w:vMerge w:val="restart"/>
          </w:tcPr>
          <w:p w14:paraId="36A4CF4E" w14:textId="724D1D2E" w:rsidR="00F02347" w:rsidRPr="00E71F28" w:rsidRDefault="00F02347" w:rsidP="00342F1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eastAsia="uk-UA"/>
              </w:rPr>
              <w:t>32</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11" w:type="dxa"/>
            <w:gridSpan w:val="20"/>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F02347" w14:paraId="66761653" w14:textId="5F7837EC" w:rsidTr="00105093">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F02347" w14:paraId="456F8B65" w14:textId="77777777" w:rsidTr="00105093">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F02347" w14:paraId="4B19ACA3" w14:textId="77777777" w:rsidTr="00105093">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F02347" w14:paraId="4991C514" w14:textId="77777777" w:rsidTr="00105093">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F02347" w14:paraId="5AE7205C" w14:textId="77777777" w:rsidTr="00105093">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F02347" w14:paraId="1D9F1893" w14:textId="77777777" w:rsidTr="00105093">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575C410F" w14:textId="77777777" w:rsidTr="00105093">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D9770E9" w14:textId="77777777" w:rsidTr="00105093">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F02347" w14:paraId="01751CD4" w14:textId="77777777" w:rsidTr="00105093">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F02347" w14:paraId="74395485" w14:textId="77777777" w:rsidTr="00105093">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F02347" w14:paraId="7735A204" w14:textId="77777777" w:rsidTr="00105093">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F02347" w14:paraId="72467942" w14:textId="77777777" w:rsidTr="00105093">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5A2D26BF" w14:textId="77777777" w:rsidTr="00105093">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ABD501B" w14:textId="77777777" w:rsidTr="00105093">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B25999" w14:textId="77777777" w:rsidTr="00105093">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9BC725D" w14:textId="77777777" w:rsidTr="00105093">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F02347" w14:paraId="5FC0EA5C" w14:textId="77777777" w:rsidTr="00105093">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F02347" w14:paraId="5CDBC4D8" w14:textId="08A0AEAC" w:rsidTr="00105093">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771C48">
        <w:tc>
          <w:tcPr>
            <w:tcW w:w="576" w:type="dxa"/>
            <w:vMerge w:val="restart"/>
          </w:tcPr>
          <w:p w14:paraId="1C6FB19F" w14:textId="6B3B8B20"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11" w:type="dxa"/>
            <w:gridSpan w:val="20"/>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F02347" w14:paraId="4CD1E528" w14:textId="2BE9E878" w:rsidTr="00105093">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66CC04CF" w14:textId="4EDF61B0" w:rsidTr="00105093">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771C48">
        <w:tc>
          <w:tcPr>
            <w:tcW w:w="576" w:type="dxa"/>
            <w:vMerge w:val="restart"/>
          </w:tcPr>
          <w:p w14:paraId="1056CB5F" w14:textId="17DC5B2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087AEA">
              <w:rPr>
                <w:rFonts w:ascii="Times New Roman" w:hAnsi="Times New Roman"/>
                <w:sz w:val="24"/>
                <w:szCs w:val="24"/>
                <w:lang w:val="en-US" w:eastAsia="uk-UA"/>
              </w:rPr>
              <w:t>4</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11" w:type="dxa"/>
            <w:gridSpan w:val="20"/>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F02347" w14:paraId="281350D9" w14:textId="77C8232F" w:rsidTr="00105093">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F02347" w14:paraId="6A7A0554" w14:textId="77777777" w:rsidTr="00105093">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F02347" w14:paraId="638BD86A" w14:textId="77777777" w:rsidTr="00105093">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F02347" w14:paraId="4084DCF6" w14:textId="77777777" w:rsidTr="00105093">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F02347" w14:paraId="6838E3D9" w14:textId="77777777" w:rsidTr="00105093">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F02347" w14:paraId="073A8B7B" w14:textId="77777777" w:rsidTr="00105093">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272029E4" w14:textId="77777777" w:rsidTr="00105093">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6EEA6428" w14:textId="77777777" w:rsidTr="00105093">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F02347" w14:paraId="3750ACCB" w14:textId="77777777" w:rsidTr="00105093">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F02347" w14:paraId="57A51B99" w14:textId="183A91BF" w:rsidTr="00105093">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F02347" w14:paraId="60D10C8C" w14:textId="77777777" w:rsidTr="00105093">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F02347" w14:paraId="2909A203" w14:textId="77777777" w:rsidTr="00105093">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387E6468" w14:textId="77777777" w:rsidTr="00105093">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15BD21D6" w14:textId="77777777" w:rsidTr="00105093">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4A9F59" w14:textId="77777777" w:rsidTr="00105093">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8C96D11" w14:textId="77777777" w:rsidTr="00105093">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F02347" w14:paraId="6F4D7EBA" w14:textId="0CD1F21A" w:rsidTr="00105093">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F02347" w14:paraId="61585201" w14:textId="49D96738" w:rsidTr="00105093">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771C48">
        <w:tc>
          <w:tcPr>
            <w:tcW w:w="576" w:type="dxa"/>
            <w:vMerge w:val="restart"/>
          </w:tcPr>
          <w:p w14:paraId="0A24BCBD" w14:textId="768B266C"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11" w:type="dxa"/>
            <w:gridSpan w:val="20"/>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F02347" w14:paraId="23C644A2" w14:textId="31AC9A41" w:rsidTr="00105093">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F02347" w14:paraId="17CC7720" w14:textId="77777777" w:rsidTr="00105093">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F02347" w14:paraId="6415D747" w14:textId="4DFCC5DE" w:rsidTr="00105093">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F02347" w14:paraId="366E1137" w14:textId="638D2E50" w:rsidTr="00105093">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771C48">
        <w:tc>
          <w:tcPr>
            <w:tcW w:w="576" w:type="dxa"/>
            <w:vMerge w:val="restart"/>
          </w:tcPr>
          <w:p w14:paraId="7BEAD61F" w14:textId="2EC5CC38"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11" w:type="dxa"/>
            <w:gridSpan w:val="20"/>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F02347" w14:paraId="1A3F6868" w14:textId="5C37818B" w:rsidTr="00105093">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771C48">
        <w:tc>
          <w:tcPr>
            <w:tcW w:w="576" w:type="dxa"/>
            <w:vMerge w:val="restart"/>
          </w:tcPr>
          <w:p w14:paraId="212F9E3C" w14:textId="6B1CF30B" w:rsidR="00BF207B"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11" w:type="dxa"/>
            <w:gridSpan w:val="20"/>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BF207B" w14:paraId="32835382" w14:textId="7FF80103" w:rsidTr="00105093">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8"/>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BF207B" w14:paraId="5780FEBB" w14:textId="13B6AFEA" w:rsidTr="00105093">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BF207B" w14:paraId="14CBD8F9" w14:textId="035C9C5C" w:rsidTr="00105093">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BF207B" w14:paraId="7B493D99" w14:textId="4C3DCBF5" w:rsidTr="00105093">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BF207B" w14:paraId="4A8B29D8" w14:textId="77777777" w:rsidTr="00105093">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771C48">
        <w:tc>
          <w:tcPr>
            <w:tcW w:w="576" w:type="dxa"/>
            <w:vMerge w:val="restart"/>
          </w:tcPr>
          <w:p w14:paraId="259A6A9C" w14:textId="7CD23FE0"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11" w:type="dxa"/>
            <w:gridSpan w:val="20"/>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3F64E6D5" w14:textId="1920EA88" w:rsidTr="00105093">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F02347" w14:paraId="73970EEB" w14:textId="77777777" w:rsidTr="00105093">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F02347" w14:paraId="29BD1F9D" w14:textId="77777777" w:rsidTr="00105093">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F02347" w14:paraId="7044F9F3" w14:textId="77777777" w:rsidTr="00105093">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F02347" w14:paraId="76C34850" w14:textId="77777777" w:rsidTr="00105093">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F02347" w14:paraId="442AE97E" w14:textId="2FE0084C" w:rsidTr="00105093">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F02347" w14:paraId="28D87394" w14:textId="6E92AC3F" w:rsidTr="00105093">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F02347" w14:paraId="21BA27AF" w14:textId="007CB176" w:rsidTr="00105093">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771C48">
        <w:tc>
          <w:tcPr>
            <w:tcW w:w="576" w:type="dxa"/>
            <w:vMerge w:val="restart"/>
          </w:tcPr>
          <w:p w14:paraId="708FAE2F" w14:textId="3E93081A"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139</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11" w:type="dxa"/>
            <w:gridSpan w:val="20"/>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F02347" w14:paraId="1B44FEEB" w14:textId="5BBB9BC4" w:rsidTr="00105093">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675"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771C48">
        <w:tc>
          <w:tcPr>
            <w:tcW w:w="576" w:type="dxa"/>
            <w:vMerge w:val="restart"/>
          </w:tcPr>
          <w:p w14:paraId="6C1085D1" w14:textId="50E6438B"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140</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11" w:type="dxa"/>
            <w:gridSpan w:val="20"/>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F02347" w14:paraId="62462A2A" w14:textId="3EA7920D" w:rsidTr="00105093">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F02347" w14:paraId="7BE78F5D" w14:textId="59E310DF" w:rsidTr="00105093">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771C48">
        <w:tc>
          <w:tcPr>
            <w:tcW w:w="576" w:type="dxa"/>
            <w:vMerge w:val="restart"/>
          </w:tcPr>
          <w:p w14:paraId="031CC840" w14:textId="4752ED63" w:rsidR="00F02347" w:rsidRPr="009D0F5E" w:rsidRDefault="00087AEA" w:rsidP="00F02347">
            <w:pPr>
              <w:jc w:val="center"/>
              <w:rPr>
                <w:rFonts w:ascii="Times New Roman" w:hAnsi="Times New Roman"/>
                <w:sz w:val="24"/>
                <w:szCs w:val="24"/>
                <w:lang w:val="ru-RU" w:eastAsia="uk-UA"/>
              </w:rPr>
            </w:pPr>
            <w:r>
              <w:rPr>
                <w:rFonts w:ascii="Times New Roman" w:hAnsi="Times New Roman"/>
                <w:sz w:val="24"/>
                <w:szCs w:val="24"/>
                <w:lang w:eastAsia="uk-UA"/>
              </w:rPr>
              <w:lastRenderedPageBreak/>
              <w:t>141</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11" w:type="dxa"/>
            <w:gridSpan w:val="20"/>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79B43FF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w:t>
            </w:r>
          </w:p>
        </w:tc>
      </w:tr>
      <w:tr w:rsidR="00F02347" w14:paraId="70C41F3A" w14:textId="05BA4A46" w:rsidTr="00105093">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F02347" w14:paraId="550EED4C" w14:textId="309D2C66" w:rsidTr="00105093">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8023F"/>
    <w:rsid w:val="0008183C"/>
    <w:rsid w:val="0008279D"/>
    <w:rsid w:val="000836E2"/>
    <w:rsid w:val="0008442D"/>
    <w:rsid w:val="00084510"/>
    <w:rsid w:val="00087AEA"/>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C7323"/>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7385"/>
    <w:rsid w:val="005402EB"/>
    <w:rsid w:val="00544DBC"/>
    <w:rsid w:val="00545436"/>
    <w:rsid w:val="00546A7A"/>
    <w:rsid w:val="005518BC"/>
    <w:rsid w:val="00552B1F"/>
    <w:rsid w:val="00552E48"/>
    <w:rsid w:val="00554662"/>
    <w:rsid w:val="00557A2C"/>
    <w:rsid w:val="005614BD"/>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844"/>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207B"/>
    <w:rsid w:val="00BF3443"/>
    <w:rsid w:val="00BF3C94"/>
    <w:rsid w:val="00BF4A78"/>
    <w:rsid w:val="00C003AA"/>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5643"/>
    <w:rsid w:val="00C61E16"/>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C474-A14A-46B4-ABC5-86A84090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40209</Words>
  <Characters>22920</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2022-12-27T15:18:00Z</dcterms:created>
  <dcterms:modified xsi:type="dcterms:W3CDTF">2022-12-27T15:18:00Z</dcterms:modified>
</cp:coreProperties>
</file>