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D6A" w:rsidRPr="00A15A1B" w:rsidRDefault="006A5D6A" w:rsidP="00A0187E">
      <w:pPr>
        <w:contextualSpacing/>
        <w:jc w:val="center"/>
        <w:rPr>
          <w:b/>
          <w:sz w:val="28"/>
          <w:szCs w:val="28"/>
          <w:lang w:eastAsia="uk-UA"/>
        </w:rPr>
      </w:pPr>
      <w:bookmarkStart w:id="0" w:name="_GoBack"/>
      <w:bookmarkEnd w:id="0"/>
      <w:r w:rsidRPr="00A15A1B">
        <w:rPr>
          <w:b/>
          <w:sz w:val="28"/>
          <w:szCs w:val="28"/>
          <w:u w:val="single"/>
          <w:lang w:eastAsia="uk-UA"/>
        </w:rPr>
        <w:t>Правила формування показників</w:t>
      </w:r>
      <w:r w:rsidRPr="00A15A1B">
        <w:rPr>
          <w:b/>
          <w:sz w:val="28"/>
          <w:szCs w:val="28"/>
          <w:lang w:eastAsia="uk-UA"/>
        </w:rPr>
        <w:t>,</w:t>
      </w:r>
    </w:p>
    <w:p w:rsidR="009C3CF4" w:rsidRDefault="006A5D6A" w:rsidP="00A0187E">
      <w:pPr>
        <w:contextualSpacing/>
        <w:jc w:val="center"/>
        <w:rPr>
          <w:b/>
          <w:sz w:val="28"/>
          <w:szCs w:val="28"/>
          <w:lang w:eastAsia="uk-UA"/>
        </w:rPr>
      </w:pPr>
      <w:r w:rsidRPr="00A15A1B">
        <w:rPr>
          <w:b/>
          <w:sz w:val="28"/>
          <w:szCs w:val="28"/>
          <w:lang w:eastAsia="uk-UA"/>
        </w:rPr>
        <w:t>що подаються у звітному файлі 6</w:t>
      </w:r>
      <w:r w:rsidRPr="00A15A1B">
        <w:rPr>
          <w:b/>
          <w:sz w:val="28"/>
          <w:szCs w:val="28"/>
          <w:lang w:val="en-US" w:eastAsia="uk-UA"/>
        </w:rPr>
        <w:t>NC</w:t>
      </w:r>
      <w:r w:rsidRPr="00A15A1B">
        <w:rPr>
          <w:b/>
          <w:sz w:val="28"/>
          <w:szCs w:val="28"/>
          <w:lang w:eastAsia="uk-UA"/>
        </w:rPr>
        <w:t xml:space="preserve"> “Дані щодо розрахунку на консолідованій основі коефіцієнта чистого стабільного</w:t>
      </w:r>
    </w:p>
    <w:p w:rsidR="006A5D6A" w:rsidRDefault="006A5D6A" w:rsidP="00A0187E">
      <w:pPr>
        <w:contextualSpacing/>
        <w:jc w:val="center"/>
        <w:rPr>
          <w:b/>
          <w:sz w:val="28"/>
          <w:szCs w:val="28"/>
          <w:lang w:eastAsia="uk-UA"/>
        </w:rPr>
      </w:pPr>
      <w:r w:rsidRPr="00A15A1B">
        <w:rPr>
          <w:b/>
          <w:sz w:val="28"/>
          <w:szCs w:val="28"/>
          <w:lang w:eastAsia="uk-UA"/>
        </w:rPr>
        <w:t xml:space="preserve"> фінансування (</w:t>
      </w:r>
      <w:r w:rsidRPr="00A15A1B">
        <w:rPr>
          <w:b/>
          <w:sz w:val="28"/>
          <w:szCs w:val="28"/>
          <w:lang w:val="en-US" w:eastAsia="uk-UA"/>
        </w:rPr>
        <w:t>NSF</w:t>
      </w:r>
      <w:r w:rsidRPr="00A15A1B">
        <w:rPr>
          <w:b/>
          <w:sz w:val="28"/>
          <w:szCs w:val="28"/>
          <w:lang w:eastAsia="uk-UA"/>
        </w:rPr>
        <w:t>Rк)”</w:t>
      </w:r>
    </w:p>
    <w:p w:rsidR="00A0187E" w:rsidRPr="00A15A1B" w:rsidRDefault="00A0187E" w:rsidP="00A0187E">
      <w:pPr>
        <w:contextualSpacing/>
        <w:jc w:val="center"/>
        <w:rPr>
          <w:b/>
          <w:sz w:val="28"/>
          <w:szCs w:val="28"/>
          <w:lang w:eastAsia="uk-UA"/>
        </w:rPr>
      </w:pPr>
    </w:p>
    <w:p w:rsidR="006A5D6A" w:rsidRPr="00A15A1B" w:rsidRDefault="006A5D6A" w:rsidP="009C3CF4">
      <w:pPr>
        <w:ind w:firstLine="709"/>
        <w:jc w:val="both"/>
        <w:rPr>
          <w:bCs/>
          <w:sz w:val="28"/>
          <w:szCs w:val="28"/>
        </w:rPr>
      </w:pPr>
      <w:r w:rsidRPr="00A15A1B">
        <w:rPr>
          <w:bCs/>
          <w:sz w:val="28"/>
          <w:szCs w:val="28"/>
        </w:rPr>
        <w:t>1. Показники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розроблено з метою отримання інформації</w:t>
      </w:r>
      <w:r w:rsidRPr="00A15A1B">
        <w:rPr>
          <w:sz w:val="28"/>
          <w:szCs w:val="28"/>
        </w:rPr>
        <w:t xml:space="preserve"> щодо розрахунку на консолідованій основі </w:t>
      </w:r>
      <w:r w:rsidRPr="00A15A1B">
        <w:rPr>
          <w:sz w:val="28"/>
          <w:szCs w:val="28"/>
          <w:lang w:eastAsia="uk-UA"/>
        </w:rPr>
        <w:t>коефіцієнта чистого стабільного фінансування (</w:t>
      </w:r>
      <w:r w:rsidRPr="00A15A1B">
        <w:rPr>
          <w:sz w:val="28"/>
          <w:szCs w:val="28"/>
          <w:lang w:val="en-US" w:eastAsia="uk-UA"/>
        </w:rPr>
        <w:t>NSFR</w:t>
      </w:r>
      <w:r w:rsidRPr="00A15A1B">
        <w:rPr>
          <w:sz w:val="28"/>
          <w:szCs w:val="28"/>
          <w:lang w:eastAsia="uk-UA"/>
        </w:rPr>
        <w:t>к)</w:t>
      </w:r>
      <w:r w:rsidRPr="00A15A1B">
        <w:rPr>
          <w:bCs/>
          <w:sz w:val="28"/>
          <w:szCs w:val="28"/>
        </w:rPr>
        <w:t>.</w:t>
      </w:r>
    </w:p>
    <w:p w:rsidR="006A5D6A" w:rsidRPr="00A15A1B" w:rsidRDefault="006A5D6A" w:rsidP="009C3CF4">
      <w:pPr>
        <w:pStyle w:val="ab"/>
        <w:spacing w:before="0" w:beforeAutospacing="0" w:after="120" w:afterAutospacing="0"/>
        <w:ind w:firstLine="709"/>
        <w:jc w:val="both"/>
        <w:rPr>
          <w:sz w:val="28"/>
          <w:szCs w:val="28"/>
        </w:rPr>
      </w:pPr>
      <w:r w:rsidRPr="00A15A1B">
        <w:rPr>
          <w:sz w:val="28"/>
          <w:szCs w:val="28"/>
        </w:rPr>
        <w:t xml:space="preserve">Терміни та скорочення, які використані в цих Правилах, відповідають термінам та скороченням, визначеним у </w:t>
      </w:r>
      <w:r w:rsidRPr="00A15A1B">
        <w:rPr>
          <w:bCs/>
          <w:sz w:val="28"/>
          <w:szCs w:val="28"/>
        </w:rPr>
        <w:t xml:space="preserve">Методиці </w:t>
      </w:r>
      <w:r w:rsidRPr="00A15A1B">
        <w:rPr>
          <w:sz w:val="28"/>
          <w:szCs w:val="28"/>
        </w:rPr>
        <w:t xml:space="preserve">розрахунку коефіцієнта чистого стабільного фінансування (NSFR), схваленій рішенням Правління Національного банку України № 1001-рш від 24.12.2019 (зі змінами) (далі – Методика № 1001).  </w:t>
      </w:r>
    </w:p>
    <w:p w:rsidR="00135A75" w:rsidRPr="00135A75" w:rsidRDefault="006A5D6A" w:rsidP="009C3CF4">
      <w:pPr>
        <w:spacing w:after="120"/>
        <w:ind w:firstLine="709"/>
        <w:jc w:val="both"/>
        <w:rPr>
          <w:bCs/>
          <w:sz w:val="28"/>
          <w:szCs w:val="28"/>
        </w:rPr>
      </w:pPr>
      <w:r w:rsidRPr="00A15A1B">
        <w:rPr>
          <w:bCs/>
          <w:sz w:val="28"/>
          <w:szCs w:val="28"/>
        </w:rPr>
        <w:t>2. Під час формування показників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w:t>
      </w:r>
      <w:r w:rsidRPr="00A15A1B">
        <w:rPr>
          <w:bCs/>
          <w:sz w:val="28"/>
          <w:szCs w:val="28"/>
        </w:rPr>
        <w:lastRenderedPageBreak/>
        <w:t xml:space="preserve">№ 1178/21490 (зі змінами) (далі </w:t>
      </w:r>
      <w:r w:rsidRPr="00A15A1B">
        <w:rPr>
          <w:bCs/>
          <w:sz w:val="28"/>
          <w:szCs w:val="28"/>
        </w:rPr>
        <w:softHyphen/>
        <w:t xml:space="preserve">– Положення № 254), </w:t>
      </w:r>
      <w:r w:rsidRPr="00A15A1B">
        <w:rPr>
          <w:sz w:val="28"/>
          <w:szCs w:val="28"/>
          <w:lang w:eastAsia="uk-UA"/>
        </w:rPr>
        <w:t>Методикою № 1001</w:t>
      </w:r>
      <w:r w:rsidRPr="00A15A1B">
        <w:rPr>
          <w:bCs/>
          <w:sz w:val="28"/>
          <w:szCs w:val="28"/>
        </w:rPr>
        <w:t xml:space="preserve">, Методикою розрахунку коефіцієнта покриття ліквідністю (LCR), схваленою рішенням Правління Національного банку України від 15.02.2018 № 101-рш (зі змінами) </w:t>
      </w:r>
      <w:r w:rsidRPr="00A15A1B">
        <w:rPr>
          <w:sz w:val="28"/>
          <w:szCs w:val="28"/>
          <w:lang w:eastAsia="uk-UA"/>
        </w:rPr>
        <w:t>(далі – Методика № 101)</w:t>
      </w:r>
      <w:r w:rsidRPr="00A15A1B">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w:t>
      </w:r>
      <w:r w:rsidR="00135A75">
        <w:rPr>
          <w:bCs/>
          <w:sz w:val="28"/>
          <w:szCs w:val="28"/>
          <w:lang w:val="en-US"/>
        </w:rPr>
        <w:t>I</w:t>
      </w:r>
      <w:r w:rsidRPr="00A15A1B">
        <w:rPr>
          <w:bCs/>
          <w:sz w:val="28"/>
          <w:szCs w:val="28"/>
        </w:rPr>
        <w:t xml:space="preserve"> Положення № 254 та підпункту 3 постанови Правління Національного банку України від 05.01.2024 № 2 “Про схвалення Змін до деяких нормативно-правових актів Національного банку України”</w:t>
      </w:r>
      <w:r w:rsidR="00135A75" w:rsidRPr="00135A75">
        <w:rPr>
          <w:bCs/>
          <w:sz w:val="28"/>
          <w:szCs w:val="28"/>
        </w:rPr>
        <w:t xml:space="preserve"> (зі змінами).</w:t>
      </w:r>
    </w:p>
    <w:p w:rsidR="00135A75" w:rsidRPr="00135A75" w:rsidRDefault="006A5D6A" w:rsidP="009C3CF4">
      <w:pPr>
        <w:ind w:firstLine="709"/>
        <w:jc w:val="both"/>
        <w:rPr>
          <w:sz w:val="28"/>
          <w:szCs w:val="28"/>
          <w:lang w:eastAsia="uk-UA"/>
        </w:rPr>
      </w:pPr>
      <w:r w:rsidRPr="00A15A1B">
        <w:rPr>
          <w:sz w:val="28"/>
          <w:szCs w:val="28"/>
        </w:rPr>
        <w:t>3. П</w:t>
      </w:r>
      <w:r w:rsidRPr="00A15A1B">
        <w:rPr>
          <w:sz w:val="28"/>
          <w:szCs w:val="28"/>
          <w:lang w:eastAsia="uk-UA"/>
        </w:rPr>
        <w:t xml:space="preserve">оказники щодо наявного стабільного фінансування </w:t>
      </w:r>
      <w:r w:rsidRPr="00DB3466">
        <w:rPr>
          <w:sz w:val="28"/>
          <w:szCs w:val="28"/>
          <w:lang w:eastAsia="uk-UA"/>
        </w:rPr>
        <w:t>A6</w:t>
      </w:r>
      <w:r w:rsidRPr="00DB3466">
        <w:rPr>
          <w:sz w:val="28"/>
          <w:szCs w:val="28"/>
          <w:lang w:val="en-US" w:eastAsia="uk-UA"/>
        </w:rPr>
        <w:t>NC</w:t>
      </w:r>
      <w:r w:rsidRPr="00DB3466">
        <w:rPr>
          <w:sz w:val="28"/>
          <w:szCs w:val="28"/>
          <w:lang w:eastAsia="uk-UA"/>
        </w:rPr>
        <w:t>005-A6</w:t>
      </w:r>
      <w:r w:rsidRPr="00DB3466">
        <w:rPr>
          <w:sz w:val="28"/>
          <w:szCs w:val="28"/>
          <w:lang w:val="en-US" w:eastAsia="uk-UA"/>
        </w:rPr>
        <w:t>NC</w:t>
      </w:r>
      <w:r w:rsidRPr="00DB3466">
        <w:rPr>
          <w:sz w:val="28"/>
          <w:szCs w:val="28"/>
          <w:lang w:eastAsia="uk-UA"/>
        </w:rPr>
        <w:t>027</w:t>
      </w:r>
      <w:r w:rsidR="003325B3" w:rsidRPr="003325B3">
        <w:rPr>
          <w:sz w:val="28"/>
          <w:szCs w:val="28"/>
        </w:rPr>
        <w:t>,</w:t>
      </w:r>
      <w:r w:rsid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059</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060</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061</w:t>
      </w:r>
      <w:r w:rsidRPr="003325B3">
        <w:rPr>
          <w:sz w:val="28"/>
          <w:szCs w:val="28"/>
          <w:lang w:eastAsia="uk-UA"/>
        </w:rPr>
        <w:t xml:space="preserve"> </w:t>
      </w:r>
      <w:r w:rsidRPr="00A15A1B">
        <w:rPr>
          <w:sz w:val="28"/>
          <w:szCs w:val="28"/>
          <w:lang w:eastAsia="uk-UA"/>
        </w:rPr>
        <w:t>розраховуються згідно з вимогами розділу ІІІ Методики № 1001</w:t>
      </w:r>
      <w:r w:rsidR="00135A75" w:rsidRPr="00135A75">
        <w:rPr>
          <w:sz w:val="28"/>
          <w:szCs w:val="28"/>
          <w:lang w:eastAsia="uk-UA"/>
        </w:rPr>
        <w:t>. За цими показниками:</w:t>
      </w:r>
    </w:p>
    <w:p w:rsidR="00135A75" w:rsidRPr="00135A75" w:rsidRDefault="00135A75" w:rsidP="009C3CF4">
      <w:pPr>
        <w:ind w:firstLine="709"/>
        <w:jc w:val="both"/>
        <w:rPr>
          <w:sz w:val="28"/>
          <w:szCs w:val="28"/>
          <w:lang w:eastAsia="uk-UA"/>
        </w:rPr>
      </w:pPr>
      <w:r w:rsidRPr="00135A75">
        <w:rPr>
          <w:sz w:val="28"/>
          <w:szCs w:val="28"/>
          <w:lang w:eastAsia="uk-UA"/>
        </w:rPr>
        <w:t>1) відображається сума складових наявного стабільного фінансування (ASF) до зважування на відповідний коефіцієнт ASF згідно з Додатком 1 до Методики № 1001;</w:t>
      </w:r>
    </w:p>
    <w:p w:rsidR="00135A75" w:rsidRPr="00135A75" w:rsidRDefault="00135A75" w:rsidP="009C3CF4">
      <w:pPr>
        <w:ind w:firstLine="709"/>
        <w:jc w:val="both"/>
        <w:rPr>
          <w:sz w:val="28"/>
          <w:szCs w:val="28"/>
          <w:lang w:eastAsia="uk-UA"/>
        </w:rPr>
      </w:pPr>
      <w:r w:rsidRPr="00135A75">
        <w:rPr>
          <w:sz w:val="28"/>
          <w:szCs w:val="28"/>
          <w:lang w:eastAsia="uk-UA"/>
        </w:rPr>
        <w:lastRenderedPageBreak/>
        <w:t>2) не відображається сума складових капіталу (включаючи частку меншості, яка включена до капіталу КІП), зменшених на власні інструменти капіталу із залишковим строком погашення до 1 року, які є складовою наявного стабільного фінансування (ASF).</w:t>
      </w:r>
    </w:p>
    <w:p w:rsidR="00135A75" w:rsidRPr="00135A75" w:rsidRDefault="00135A75" w:rsidP="009C3CF4">
      <w:pPr>
        <w:ind w:firstLine="709"/>
        <w:jc w:val="both"/>
        <w:rPr>
          <w:sz w:val="28"/>
          <w:szCs w:val="28"/>
          <w:lang w:eastAsia="uk-UA"/>
        </w:rPr>
      </w:pPr>
      <w:r w:rsidRPr="00135A75">
        <w:rPr>
          <w:sz w:val="28"/>
          <w:szCs w:val="28"/>
          <w:lang w:eastAsia="uk-UA"/>
        </w:rPr>
        <w:t>Дані щодо складових капіталу (включаючи частку меншості, яка включена до капіталу КІП), зменшених на власні інструменти капіталу із залишковим строком погашення до 1 року, включаються до розрахунку показника A6NC004 та показника A6NC028 (з урахуванням правила формування цього показника).</w:t>
      </w:r>
    </w:p>
    <w:p w:rsidR="00135A75" w:rsidRPr="00135A75" w:rsidRDefault="006A5D6A" w:rsidP="009C3CF4">
      <w:pPr>
        <w:spacing w:before="120"/>
        <w:ind w:firstLine="709"/>
        <w:jc w:val="both"/>
        <w:rPr>
          <w:sz w:val="28"/>
          <w:szCs w:val="28"/>
          <w:lang w:eastAsia="uk-UA"/>
        </w:rPr>
      </w:pPr>
      <w:r w:rsidRPr="00A15A1B">
        <w:rPr>
          <w:sz w:val="28"/>
          <w:szCs w:val="28"/>
          <w:lang w:eastAsia="uk-UA"/>
        </w:rPr>
        <w:t xml:space="preserve">4. Показники щодо необхідного стабільного фінансування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030-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55</w:t>
      </w:r>
      <w:r w:rsidRPr="00A15A1B">
        <w:rPr>
          <w:sz w:val="28"/>
          <w:szCs w:val="28"/>
          <w:lang w:eastAsia="uk-UA"/>
        </w:rPr>
        <w:t xml:space="preserve"> розраховуються згідно з вимогами розділу І</w:t>
      </w:r>
      <w:r w:rsidRPr="00A15A1B">
        <w:rPr>
          <w:sz w:val="28"/>
          <w:szCs w:val="28"/>
          <w:lang w:val="en-US" w:eastAsia="uk-UA"/>
        </w:rPr>
        <w:t>V</w:t>
      </w:r>
      <w:r w:rsidRPr="00A15A1B">
        <w:rPr>
          <w:sz w:val="28"/>
          <w:szCs w:val="28"/>
          <w:lang w:eastAsia="uk-UA"/>
        </w:rPr>
        <w:t xml:space="preserve"> Методики № 1001. За цими показниками відображається сума до зважування на відповідний коефіцієнт </w:t>
      </w:r>
      <w:r w:rsidRPr="00A15A1B">
        <w:rPr>
          <w:sz w:val="28"/>
          <w:szCs w:val="28"/>
          <w:lang w:val="en-US" w:eastAsia="uk-UA"/>
        </w:rPr>
        <w:t>RSF</w:t>
      </w:r>
      <w:r w:rsidRPr="00A15A1B">
        <w:rPr>
          <w:sz w:val="28"/>
          <w:szCs w:val="28"/>
          <w:lang w:val="ru-RU" w:eastAsia="uk-UA"/>
        </w:rPr>
        <w:t xml:space="preserve"> </w:t>
      </w:r>
      <w:r w:rsidRPr="00A15A1B">
        <w:rPr>
          <w:sz w:val="28"/>
          <w:szCs w:val="28"/>
          <w:lang w:eastAsia="uk-UA"/>
        </w:rPr>
        <w:t>згідно з додатком 2 до Методики № 1001.</w:t>
      </w:r>
      <w:r w:rsidR="00135A75" w:rsidRPr="00135A75">
        <w:t xml:space="preserve"> </w:t>
      </w:r>
      <w:r w:rsidR="00135A75" w:rsidRPr="00135A75">
        <w:rPr>
          <w:sz w:val="28"/>
          <w:szCs w:val="28"/>
          <w:lang w:eastAsia="uk-UA"/>
        </w:rPr>
        <w:t>За цими показниками:</w:t>
      </w:r>
    </w:p>
    <w:p w:rsidR="00135A75" w:rsidRPr="00135A75" w:rsidRDefault="00135A75" w:rsidP="009C3CF4">
      <w:pPr>
        <w:ind w:firstLine="709"/>
        <w:jc w:val="both"/>
        <w:rPr>
          <w:sz w:val="28"/>
          <w:szCs w:val="28"/>
          <w:lang w:eastAsia="uk-UA"/>
        </w:rPr>
      </w:pPr>
      <w:r w:rsidRPr="00135A75">
        <w:rPr>
          <w:sz w:val="28"/>
          <w:szCs w:val="28"/>
          <w:lang w:eastAsia="uk-UA"/>
        </w:rPr>
        <w:t>1) відображається сума складових необхідного стабільного фінансування (RSF) до зважування на відповідний коефіцієнт RSF згідно з додатком 2 до Методики № 1001;</w:t>
      </w:r>
    </w:p>
    <w:p w:rsidR="00135A75" w:rsidRPr="00135A75" w:rsidRDefault="00135A75" w:rsidP="009C3CF4">
      <w:pPr>
        <w:ind w:firstLine="709"/>
        <w:jc w:val="both"/>
        <w:rPr>
          <w:sz w:val="28"/>
          <w:szCs w:val="28"/>
          <w:lang w:eastAsia="uk-UA"/>
        </w:rPr>
      </w:pPr>
      <w:r w:rsidRPr="00135A75">
        <w:rPr>
          <w:sz w:val="28"/>
          <w:szCs w:val="28"/>
          <w:lang w:eastAsia="uk-UA"/>
        </w:rPr>
        <w:t>2) не відображається сума вирахувань з капіталу, які є складовою необхідного стабільного фінансування (RSF).</w:t>
      </w:r>
    </w:p>
    <w:p w:rsidR="00135A75" w:rsidRPr="00135A75" w:rsidRDefault="00135A75" w:rsidP="009C3CF4">
      <w:pPr>
        <w:ind w:firstLine="709"/>
        <w:jc w:val="both"/>
        <w:rPr>
          <w:sz w:val="28"/>
          <w:szCs w:val="28"/>
          <w:lang w:eastAsia="uk-UA"/>
        </w:rPr>
      </w:pPr>
      <w:r w:rsidRPr="00135A75">
        <w:rPr>
          <w:sz w:val="28"/>
          <w:szCs w:val="28"/>
          <w:lang w:eastAsia="uk-UA"/>
        </w:rPr>
        <w:lastRenderedPageBreak/>
        <w:t>Дані щодо вирахувань з капіталу включаються до розрахунку показника A6NC029 та показника A6NC058 (з урахуванням правила формування цього показника).</w:t>
      </w:r>
    </w:p>
    <w:p w:rsidR="006A5D6A" w:rsidRPr="00A15A1B" w:rsidRDefault="006A5D6A" w:rsidP="009C3CF4">
      <w:pPr>
        <w:spacing w:after="120"/>
        <w:ind w:firstLine="709"/>
        <w:jc w:val="both"/>
        <w:rPr>
          <w:sz w:val="28"/>
          <w:szCs w:val="28"/>
          <w:lang w:eastAsia="uk-UA"/>
        </w:rPr>
      </w:pPr>
      <w:r w:rsidRPr="00A15A1B">
        <w:rPr>
          <w:sz w:val="28"/>
          <w:szCs w:val="28"/>
          <w:lang w:eastAsia="uk-UA"/>
        </w:rPr>
        <w:t xml:space="preserve">До показників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032-</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043,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045-</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047,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049-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052,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054 включаються активи, які відповідають вимогам щодо повністю працюючих активів згідно з Методикою № 101-рш.</w:t>
      </w:r>
    </w:p>
    <w:p w:rsidR="006A5D6A" w:rsidRPr="00A15A1B" w:rsidRDefault="006A5D6A" w:rsidP="009C3CF4">
      <w:pPr>
        <w:spacing w:after="120"/>
        <w:ind w:firstLine="709"/>
        <w:jc w:val="both"/>
        <w:rPr>
          <w:sz w:val="28"/>
          <w:szCs w:val="28"/>
          <w:lang w:eastAsia="uk-UA"/>
        </w:rPr>
      </w:pPr>
      <w:r w:rsidRPr="00A15A1B">
        <w:rPr>
          <w:sz w:val="28"/>
          <w:szCs w:val="28"/>
          <w:lang w:eastAsia="uk-UA"/>
        </w:rPr>
        <w:t>5. До показників щодо наявного та необхідного стабільного фінансування</w:t>
      </w:r>
      <w:r w:rsidRPr="00DB3466">
        <w:rPr>
          <w:sz w:val="28"/>
          <w:szCs w:val="28"/>
          <w:lang w:eastAsia="uk-UA"/>
        </w:rPr>
        <w:t xml:space="preserve"> </w:t>
      </w:r>
      <w:r w:rsidRPr="00A15A1B">
        <w:rPr>
          <w:sz w:val="28"/>
          <w:szCs w:val="28"/>
          <w:lang w:eastAsia="uk-UA"/>
        </w:rPr>
        <w:t xml:space="preserve">іноземних учасників A6NC028,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58</w:t>
      </w:r>
      <w:r w:rsidRPr="00A15A1B">
        <w:rPr>
          <w:sz w:val="28"/>
          <w:szCs w:val="28"/>
          <w:lang w:eastAsia="uk-UA"/>
        </w:rPr>
        <w:t xml:space="preserve"> включаються складові наявного стабільного фінансування та необхідного стабільного фінансування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10 глави </w:t>
      </w:r>
      <w:r w:rsidR="00135A75" w:rsidRPr="00135A75">
        <w:rPr>
          <w:sz w:val="28"/>
          <w:szCs w:val="28"/>
          <w:lang w:eastAsia="uk-UA"/>
        </w:rPr>
        <w:t>3</w:t>
      </w:r>
      <w:r w:rsidRPr="00A15A1B">
        <w:rPr>
          <w:sz w:val="28"/>
          <w:szCs w:val="28"/>
          <w:lang w:eastAsia="uk-UA"/>
        </w:rPr>
        <w:t xml:space="preserve"> розділу І</w:t>
      </w:r>
      <w:r w:rsidR="00135A75">
        <w:rPr>
          <w:sz w:val="28"/>
          <w:szCs w:val="28"/>
          <w:lang w:val="en-US" w:eastAsia="uk-UA"/>
        </w:rPr>
        <w:t>V</w:t>
      </w:r>
      <w:r w:rsidRPr="00A15A1B">
        <w:rPr>
          <w:sz w:val="28"/>
          <w:szCs w:val="28"/>
          <w:lang w:eastAsia="uk-UA"/>
        </w:rPr>
        <w:t xml:space="preserve"> Положення № 254 після зважування на відповідні коефіцієнти </w:t>
      </w:r>
      <w:r w:rsidRPr="00A15A1B">
        <w:rPr>
          <w:sz w:val="28"/>
          <w:szCs w:val="28"/>
          <w:lang w:val="en-US" w:eastAsia="uk-UA"/>
        </w:rPr>
        <w:t>ASF</w:t>
      </w:r>
      <w:r w:rsidRPr="00A15A1B">
        <w:rPr>
          <w:sz w:val="28"/>
          <w:szCs w:val="28"/>
          <w:lang w:eastAsia="uk-UA"/>
        </w:rPr>
        <w:t xml:space="preserve"> та </w:t>
      </w:r>
      <w:r w:rsidRPr="00A15A1B">
        <w:rPr>
          <w:sz w:val="28"/>
          <w:szCs w:val="28"/>
          <w:lang w:val="en-US" w:eastAsia="uk-UA"/>
        </w:rPr>
        <w:t>RSF</w:t>
      </w:r>
      <w:r w:rsidRPr="00A15A1B">
        <w:rPr>
          <w:sz w:val="28"/>
          <w:szCs w:val="28"/>
          <w:lang w:eastAsia="uk-UA"/>
        </w:rPr>
        <w:t>.</w:t>
      </w:r>
    </w:p>
    <w:p w:rsidR="006A5D6A" w:rsidRPr="00A15A1B" w:rsidRDefault="006A5D6A" w:rsidP="009C3CF4">
      <w:pPr>
        <w:ind w:firstLine="709"/>
        <w:jc w:val="both"/>
        <w:rPr>
          <w:sz w:val="28"/>
          <w:szCs w:val="28"/>
          <w:lang w:eastAsia="uk-UA"/>
        </w:rPr>
      </w:pPr>
      <w:r w:rsidRPr="00A15A1B">
        <w:rPr>
          <w:sz w:val="28"/>
          <w:szCs w:val="28"/>
          <w:lang w:eastAsia="uk-UA"/>
        </w:rPr>
        <w:t>6. Під час розрахунку необхідного стабільного фінансування (RSF) активи та позабалансові зобов’язання уключаються за вирахуванням резервів/зносу.</w:t>
      </w:r>
    </w:p>
    <w:p w:rsidR="006A5D6A" w:rsidRPr="00A15A1B" w:rsidRDefault="006A5D6A" w:rsidP="009C3CF4">
      <w:pPr>
        <w:ind w:firstLine="709"/>
        <w:jc w:val="both"/>
        <w:rPr>
          <w:sz w:val="28"/>
          <w:szCs w:val="28"/>
          <w:lang w:eastAsia="uk-UA"/>
        </w:rPr>
      </w:pPr>
      <w:r w:rsidRPr="00A15A1B">
        <w:rPr>
          <w:sz w:val="28"/>
          <w:szCs w:val="28"/>
          <w:lang w:eastAsia="uk-UA"/>
        </w:rPr>
        <w:lastRenderedPageBreak/>
        <w:t xml:space="preserve">Сума резерву за окремою активною операцією не повинна перевищувати сукупної суми інших складових балансової вартості цієї операції. </w:t>
      </w:r>
    </w:p>
    <w:p w:rsidR="006A5D6A" w:rsidRPr="00A15A1B" w:rsidRDefault="006A5D6A" w:rsidP="009C3CF4">
      <w:pPr>
        <w:spacing w:before="120"/>
        <w:ind w:firstLine="709"/>
        <w:jc w:val="both"/>
        <w:rPr>
          <w:sz w:val="28"/>
          <w:szCs w:val="28"/>
          <w:lang w:eastAsia="uk-UA"/>
        </w:rPr>
      </w:pPr>
      <w:r w:rsidRPr="00A15A1B">
        <w:rPr>
          <w:sz w:val="28"/>
          <w:szCs w:val="28"/>
        </w:rPr>
        <w:t xml:space="preserve">7. Показники файлу </w:t>
      </w:r>
      <w:r w:rsidRPr="00A15A1B">
        <w:rPr>
          <w:bCs/>
          <w:sz w:val="28"/>
          <w:szCs w:val="28"/>
        </w:rPr>
        <w:t>6N</w:t>
      </w:r>
      <w:r w:rsidRPr="00A15A1B">
        <w:rPr>
          <w:bCs/>
          <w:sz w:val="28"/>
          <w:szCs w:val="28"/>
          <w:lang w:val="en-US"/>
        </w:rPr>
        <w:t>C</w:t>
      </w:r>
      <w:r w:rsidRPr="00A15A1B">
        <w:rPr>
          <w:sz w:val="28"/>
          <w:szCs w:val="28"/>
        </w:rPr>
        <w:t xml:space="preserve"> </w:t>
      </w:r>
      <w:r w:rsidRPr="00A15A1B">
        <w:rPr>
          <w:sz w:val="28"/>
          <w:szCs w:val="28"/>
          <w:lang w:eastAsia="uk-UA"/>
        </w:rPr>
        <w:t xml:space="preserve">наявного та необхідного стабільного фінансування, </w:t>
      </w:r>
      <w:r w:rsidRPr="00A15A1B">
        <w:rPr>
          <w:sz w:val="28"/>
          <w:szCs w:val="28"/>
        </w:rPr>
        <w:t>значення коефіцієнта чистого стабільного фінансування (NSFRк) банківської групи заповнюються за</w:t>
      </w:r>
      <w:r w:rsidRPr="00A15A1B">
        <w:rPr>
          <w:sz w:val="28"/>
          <w:szCs w:val="28"/>
          <w:lang w:eastAsia="uk-UA"/>
        </w:rPr>
        <w:t>:</w:t>
      </w:r>
    </w:p>
    <w:p w:rsidR="006A5D6A" w:rsidRPr="00A15A1B" w:rsidRDefault="006A5D6A" w:rsidP="00B91D2B">
      <w:pPr>
        <w:pStyle w:val="ad"/>
        <w:widowControl/>
        <w:numPr>
          <w:ilvl w:val="0"/>
          <w:numId w:val="33"/>
        </w:numPr>
        <w:autoSpaceDE/>
        <w:autoSpaceDN/>
        <w:adjustRightInd/>
        <w:spacing w:after="120"/>
        <w:ind w:left="0" w:firstLine="567"/>
        <w:contextualSpacing/>
        <w:jc w:val="both"/>
        <w:rPr>
          <w:sz w:val="28"/>
          <w:szCs w:val="28"/>
          <w:lang w:eastAsia="uk-UA"/>
        </w:rPr>
      </w:pPr>
      <w:r w:rsidRPr="00A15A1B">
        <w:rPr>
          <w:sz w:val="28"/>
          <w:szCs w:val="28"/>
          <w:lang w:eastAsia="uk-UA"/>
        </w:rPr>
        <w:t> кредитно-інвестиційною підгрупою банківської групи зі значенням “2” довідника F058;</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rPr>
      </w:pPr>
      <w:r w:rsidRPr="00A15A1B">
        <w:rPr>
          <w:sz w:val="28"/>
          <w:szCs w:val="28"/>
          <w:lang w:eastAsia="uk-UA"/>
        </w:rPr>
        <w:t xml:space="preserve"> підгрупою банківської групи, визначеною за географічним критерієм </w:t>
      </w:r>
      <w:r w:rsidRPr="00A15A1B">
        <w:rPr>
          <w:sz w:val="28"/>
          <w:szCs w:val="28"/>
          <w:lang w:val="ru-RU" w:eastAsia="uk-UA"/>
        </w:rPr>
        <w:t xml:space="preserve">[за учасниками підгрупи в цілому (крім страхових компаній)] </w:t>
      </w:r>
      <w:r w:rsidRPr="00A15A1B">
        <w:rPr>
          <w:sz w:val="28"/>
          <w:szCs w:val="28"/>
          <w:lang w:eastAsia="uk-UA"/>
        </w:rPr>
        <w:t>зі значенням “4” довідника F058.</w:t>
      </w:r>
    </w:p>
    <w:p w:rsidR="006A5D6A" w:rsidRPr="00A0187E" w:rsidRDefault="006A5D6A" w:rsidP="006A5D6A">
      <w:pPr>
        <w:ind w:firstLine="708"/>
        <w:jc w:val="both"/>
        <w:rPr>
          <w:sz w:val="16"/>
          <w:szCs w:val="16"/>
        </w:rPr>
      </w:pPr>
    </w:p>
    <w:p w:rsidR="006A5D6A" w:rsidRPr="00A15A1B" w:rsidRDefault="006A5D6A" w:rsidP="009C3CF4">
      <w:pPr>
        <w:spacing w:after="120"/>
        <w:ind w:firstLine="709"/>
        <w:jc w:val="both"/>
        <w:rPr>
          <w:sz w:val="28"/>
          <w:szCs w:val="28"/>
        </w:rPr>
      </w:pPr>
      <w:r w:rsidRPr="00A15A1B">
        <w:rPr>
          <w:sz w:val="28"/>
          <w:szCs w:val="28"/>
        </w:rPr>
        <w:t>8. У разі застосування відповідальною особою банківської групи права, визначеного п</w:t>
      </w:r>
      <w:r w:rsidR="004B35BC">
        <w:rPr>
          <w:sz w:val="28"/>
          <w:szCs w:val="28"/>
        </w:rPr>
        <w:t>унктом 1</w:t>
      </w:r>
      <w:r w:rsidR="001E4D51">
        <w:rPr>
          <w:sz w:val="28"/>
          <w:szCs w:val="28"/>
        </w:rPr>
        <w:t>6</w:t>
      </w:r>
      <w:r w:rsidR="004B35BC">
        <w:rPr>
          <w:sz w:val="28"/>
          <w:szCs w:val="28"/>
        </w:rPr>
        <w:t xml:space="preserve"> розділу I Положення № </w:t>
      </w:r>
      <w:r w:rsidRPr="00A15A1B">
        <w:rPr>
          <w:sz w:val="28"/>
          <w:szCs w:val="28"/>
        </w:rPr>
        <w:t xml:space="preserve">254, подається  нульовий  файл. </w:t>
      </w:r>
    </w:p>
    <w:p w:rsidR="006A5D6A" w:rsidRPr="00A15A1B" w:rsidRDefault="006A5D6A" w:rsidP="006A5D6A">
      <w:pPr>
        <w:ind w:firstLine="709"/>
        <w:jc w:val="center"/>
        <w:rPr>
          <w:b/>
          <w:sz w:val="28"/>
          <w:szCs w:val="28"/>
          <w:u w:val="single"/>
          <w:lang w:eastAsia="uk-UA"/>
        </w:rPr>
      </w:pPr>
      <w:r w:rsidRPr="00A15A1B">
        <w:rPr>
          <w:b/>
          <w:sz w:val="28"/>
          <w:szCs w:val="28"/>
          <w:u w:val="single"/>
          <w:lang w:eastAsia="uk-UA"/>
        </w:rPr>
        <w:t xml:space="preserve">Особливості </w:t>
      </w:r>
      <w:r w:rsidRPr="00A15A1B">
        <w:rPr>
          <w:b/>
          <w:sz w:val="28"/>
          <w:szCs w:val="28"/>
          <w:u w:val="single"/>
          <w:lang w:val="ru-RU" w:eastAsia="uk-UA"/>
        </w:rPr>
        <w:t xml:space="preserve">правил </w:t>
      </w:r>
      <w:r w:rsidRPr="00A15A1B">
        <w:rPr>
          <w:b/>
          <w:sz w:val="28"/>
          <w:szCs w:val="28"/>
          <w:u w:val="single"/>
          <w:lang w:eastAsia="uk-UA"/>
        </w:rPr>
        <w:t>формування показників</w:t>
      </w:r>
    </w:p>
    <w:p w:rsidR="006A5D6A" w:rsidRPr="00A15A1B" w:rsidRDefault="006A5D6A" w:rsidP="009C3CF4">
      <w:pPr>
        <w:spacing w:before="80"/>
        <w:jc w:val="center"/>
        <w:rPr>
          <w:b/>
          <w:sz w:val="28"/>
          <w:szCs w:val="28"/>
          <w:u w:val="single"/>
          <w:lang w:eastAsia="uk-UA"/>
        </w:rPr>
      </w:pPr>
      <w:r w:rsidRPr="00A15A1B">
        <w:rPr>
          <w:b/>
          <w:sz w:val="28"/>
          <w:szCs w:val="28"/>
          <w:u w:val="single"/>
          <w:lang w:eastAsia="uk-UA"/>
        </w:rPr>
        <w:t>Опис параметрів</w:t>
      </w:r>
    </w:p>
    <w:p w:rsidR="006A5D6A" w:rsidRPr="00A15A1B" w:rsidRDefault="006A5D6A" w:rsidP="006A5D6A">
      <w:pPr>
        <w:pStyle w:val="ad"/>
        <w:ind w:left="1069"/>
        <w:rPr>
          <w:b/>
          <w:sz w:val="28"/>
          <w:szCs w:val="28"/>
          <w:u w:val="single"/>
          <w:lang w:eastAsia="uk-UA"/>
        </w:rPr>
      </w:pPr>
    </w:p>
    <w:p w:rsidR="006A5D6A" w:rsidRPr="00A15A1B" w:rsidRDefault="006A5D6A" w:rsidP="009C3CF4">
      <w:pPr>
        <w:spacing w:after="120"/>
        <w:ind w:firstLine="709"/>
        <w:jc w:val="both"/>
        <w:rPr>
          <w:sz w:val="28"/>
          <w:szCs w:val="28"/>
          <w:lang w:eastAsia="uk-UA"/>
        </w:rPr>
      </w:pPr>
      <w:r w:rsidRPr="00A15A1B">
        <w:rPr>
          <w:b/>
          <w:sz w:val="28"/>
          <w:szCs w:val="28"/>
          <w:lang w:eastAsia="uk-UA"/>
        </w:rPr>
        <w:t>Параметр R030</w:t>
      </w:r>
      <w:r w:rsidRPr="00A15A1B">
        <w:rPr>
          <w:sz w:val="28"/>
          <w:szCs w:val="28"/>
          <w:lang w:eastAsia="uk-UA"/>
        </w:rPr>
        <w:t xml:space="preserve"> – код валюти (довідник R030).</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val="ru-RU" w:eastAsia="uk-UA"/>
        </w:rPr>
        <w:t>242</w:t>
      </w:r>
      <w:r w:rsidRPr="00A15A1B">
        <w:rPr>
          <w:sz w:val="28"/>
          <w:szCs w:val="28"/>
          <w:lang w:eastAsia="uk-UA"/>
        </w:rPr>
        <w:t xml:space="preserve"> – коди строків до погашення (стабільне фінансування) (довідник </w:t>
      </w:r>
      <w:r w:rsidRPr="00A15A1B">
        <w:rPr>
          <w:sz w:val="28"/>
          <w:szCs w:val="28"/>
          <w:lang w:val="en-US" w:eastAsia="uk-UA"/>
        </w:rPr>
        <w:t>S</w:t>
      </w:r>
      <w:r w:rsidRPr="00A15A1B">
        <w:rPr>
          <w:sz w:val="28"/>
          <w:szCs w:val="28"/>
          <w:lang w:val="ru-RU" w:eastAsia="uk-UA"/>
        </w:rPr>
        <w:t>242</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lastRenderedPageBreak/>
        <w:t xml:space="preserve">Параметр </w:t>
      </w:r>
      <w:r w:rsidRPr="00A15A1B">
        <w:rPr>
          <w:b/>
          <w:sz w:val="28"/>
          <w:szCs w:val="28"/>
          <w:lang w:val="en-US" w:eastAsia="uk-UA"/>
        </w:rPr>
        <w:t>S</w:t>
      </w:r>
      <w:r w:rsidRPr="00A15A1B">
        <w:rPr>
          <w:b/>
          <w:sz w:val="28"/>
          <w:szCs w:val="28"/>
          <w:lang w:eastAsia="uk-UA"/>
        </w:rPr>
        <w:t>3</w:t>
      </w:r>
      <w:r w:rsidRPr="00A15A1B">
        <w:rPr>
          <w:b/>
          <w:sz w:val="28"/>
          <w:szCs w:val="28"/>
          <w:lang w:val="ru-RU" w:eastAsia="uk-UA"/>
        </w:rPr>
        <w:t>20</w:t>
      </w:r>
      <w:r w:rsidRPr="00A15A1B">
        <w:rPr>
          <w:sz w:val="28"/>
          <w:szCs w:val="28"/>
          <w:lang w:eastAsia="uk-UA"/>
        </w:rPr>
        <w:t xml:space="preserve"> – коди строків обтяження активу (довідник </w:t>
      </w:r>
      <w:r w:rsidRPr="00A15A1B">
        <w:rPr>
          <w:sz w:val="28"/>
          <w:szCs w:val="28"/>
          <w:lang w:val="en-US" w:eastAsia="uk-UA"/>
        </w:rPr>
        <w:t>S</w:t>
      </w:r>
      <w:r w:rsidRPr="00A15A1B">
        <w:rPr>
          <w:sz w:val="28"/>
          <w:szCs w:val="28"/>
          <w:lang w:val="ru-RU" w:eastAsia="uk-UA"/>
        </w:rPr>
        <w:t>320</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F</w:t>
      </w:r>
      <w:r w:rsidRPr="00A15A1B">
        <w:rPr>
          <w:b/>
          <w:sz w:val="28"/>
          <w:szCs w:val="28"/>
          <w:lang w:eastAsia="uk-UA"/>
        </w:rPr>
        <w:t>083</w:t>
      </w:r>
      <w:r w:rsidRPr="00A15A1B">
        <w:rPr>
          <w:b/>
          <w:sz w:val="28"/>
          <w:szCs w:val="28"/>
          <w:lang w:val="en-US" w:eastAsia="uk-UA"/>
        </w:rPr>
        <w:t>A</w:t>
      </w:r>
      <w:r w:rsidRPr="00A15A1B">
        <w:rPr>
          <w:sz w:val="28"/>
          <w:szCs w:val="28"/>
          <w:lang w:eastAsia="uk-UA"/>
        </w:rPr>
        <w:t xml:space="preserve"> – код складової балансової вартості (довідник </w:t>
      </w:r>
      <w:r w:rsidRPr="00A15A1B">
        <w:rPr>
          <w:sz w:val="28"/>
          <w:szCs w:val="28"/>
          <w:lang w:val="en-US" w:eastAsia="uk-UA"/>
        </w:rPr>
        <w:t>F</w:t>
      </w:r>
      <w:r w:rsidRPr="00A15A1B">
        <w:rPr>
          <w:sz w:val="28"/>
          <w:szCs w:val="28"/>
          <w:lang w:eastAsia="uk-UA"/>
        </w:rPr>
        <w:t>083</w:t>
      </w:r>
      <w:r w:rsidRPr="00A15A1B">
        <w:rPr>
          <w:sz w:val="28"/>
          <w:szCs w:val="28"/>
          <w:lang w:val="en-US" w:eastAsia="uk-UA"/>
        </w:rPr>
        <w:t>A</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Параметр F058</w:t>
      </w:r>
      <w:r w:rsidRPr="00A15A1B">
        <w:rPr>
          <w:sz w:val="28"/>
          <w:szCs w:val="28"/>
          <w:lang w:eastAsia="uk-UA"/>
        </w:rPr>
        <w:t xml:space="preserve"> – код підгрупи банківської групи (довідник F058).</w:t>
      </w:r>
    </w:p>
    <w:p w:rsidR="006A5D6A" w:rsidRPr="00A15A1B" w:rsidRDefault="006A5D6A" w:rsidP="006A5D6A">
      <w:pPr>
        <w:ind w:firstLine="709"/>
        <w:jc w:val="both"/>
        <w:rPr>
          <w:sz w:val="28"/>
          <w:szCs w:val="28"/>
          <w:lang w:eastAsia="uk-UA"/>
        </w:rPr>
      </w:pPr>
      <w:r w:rsidRPr="00A15A1B">
        <w:rPr>
          <w:b/>
          <w:sz w:val="28"/>
          <w:szCs w:val="28"/>
          <w:lang w:eastAsia="uk-UA"/>
        </w:rPr>
        <w:t xml:space="preserve">НРП Q003_2 </w:t>
      </w:r>
      <w:r w:rsidRPr="00A15A1B">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6A5D6A" w:rsidRPr="00A15A1B" w:rsidRDefault="006A5D6A" w:rsidP="006A5D6A">
      <w:pPr>
        <w:ind w:firstLine="709"/>
        <w:jc w:val="center"/>
        <w:rPr>
          <w:sz w:val="28"/>
          <w:szCs w:val="28"/>
          <w:lang w:eastAsia="uk-UA"/>
        </w:rPr>
      </w:pPr>
    </w:p>
    <w:p w:rsidR="006A5D6A" w:rsidRDefault="006A5D6A" w:rsidP="006A5D6A">
      <w:pPr>
        <w:ind w:firstLine="709"/>
        <w:jc w:val="center"/>
        <w:rPr>
          <w:b/>
          <w:sz w:val="28"/>
          <w:szCs w:val="28"/>
          <w:u w:val="single"/>
          <w:lang w:eastAsia="uk-UA"/>
        </w:rPr>
      </w:pPr>
      <w:r w:rsidRPr="00A15A1B">
        <w:rPr>
          <w:b/>
          <w:sz w:val="28"/>
          <w:szCs w:val="28"/>
          <w:u w:val="single"/>
          <w:lang w:eastAsia="uk-UA"/>
        </w:rPr>
        <w:t>Правила формування показників</w:t>
      </w:r>
    </w:p>
    <w:p w:rsidR="00AC26D5" w:rsidRPr="002F2D13" w:rsidRDefault="00AC26D5" w:rsidP="006A5D6A">
      <w:pPr>
        <w:ind w:firstLine="709"/>
        <w:jc w:val="center"/>
        <w:rPr>
          <w:sz w:val="32"/>
          <w:szCs w:val="32"/>
          <w:lang w:eastAsia="uk-UA"/>
        </w:rPr>
      </w:pPr>
    </w:p>
    <w:tbl>
      <w:tblPr>
        <w:tblStyle w:val="aa"/>
        <w:tblW w:w="11199" w:type="dxa"/>
        <w:jc w:val="center"/>
        <w:tblLayout w:type="fixed"/>
        <w:tblLook w:val="04A0" w:firstRow="1" w:lastRow="0" w:firstColumn="1" w:lastColumn="0" w:noHBand="0" w:noVBand="1"/>
      </w:tblPr>
      <w:tblGrid>
        <w:gridCol w:w="506"/>
        <w:gridCol w:w="1150"/>
        <w:gridCol w:w="1263"/>
        <w:gridCol w:w="3744"/>
        <w:gridCol w:w="4536"/>
      </w:tblGrid>
      <w:tr w:rsidR="004B35BC" w:rsidRPr="00A15A1B" w:rsidTr="00B523D2">
        <w:trPr>
          <w:jc w:val="center"/>
        </w:trPr>
        <w:tc>
          <w:tcPr>
            <w:tcW w:w="506" w:type="dxa"/>
            <w:tcBorders>
              <w:bottom w:val="single" w:sz="4" w:space="0" w:color="auto"/>
            </w:tcBorders>
          </w:tcPr>
          <w:p w:rsidR="004B35BC" w:rsidRPr="00A15A1B" w:rsidRDefault="004B35BC" w:rsidP="0030150A">
            <w:pPr>
              <w:jc w:val="center"/>
              <w:rPr>
                <w:sz w:val="24"/>
                <w:szCs w:val="24"/>
                <w:lang w:eastAsia="uk-UA"/>
              </w:rPr>
            </w:pPr>
            <w:r w:rsidRPr="00A15A1B">
              <w:rPr>
                <w:sz w:val="24"/>
                <w:szCs w:val="24"/>
                <w:lang w:eastAsia="uk-UA"/>
              </w:rPr>
              <w:t>№ з/п</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 xml:space="preserve">ID </w:t>
            </w:r>
            <w:r w:rsidRPr="00A15A1B">
              <w:rPr>
                <w:sz w:val="24"/>
                <w:szCs w:val="24"/>
                <w:lang w:eastAsia="uk-UA"/>
              </w:rPr>
              <w:t>показника</w:t>
            </w:r>
          </w:p>
        </w:tc>
        <w:tc>
          <w:tcPr>
            <w:tcW w:w="8280" w:type="dxa"/>
            <w:gridSpan w:val="2"/>
          </w:tcPr>
          <w:p w:rsidR="004B35BC" w:rsidRPr="00A15A1B" w:rsidRDefault="004B35BC" w:rsidP="0030150A">
            <w:pPr>
              <w:jc w:val="center"/>
              <w:rPr>
                <w:sz w:val="24"/>
                <w:szCs w:val="24"/>
                <w:lang w:eastAsia="uk-UA"/>
              </w:rPr>
            </w:pPr>
            <w:r w:rsidRPr="00A15A1B">
              <w:rPr>
                <w:sz w:val="24"/>
                <w:szCs w:val="24"/>
                <w:lang w:eastAsia="uk-UA"/>
              </w:rPr>
              <w:t>Правило формування показника</w:t>
            </w:r>
          </w:p>
        </w:tc>
      </w:tr>
      <w:tr w:rsidR="004B35BC" w:rsidRPr="00A15A1B" w:rsidTr="00B523D2">
        <w:trPr>
          <w:jc w:val="center"/>
        </w:trPr>
        <w:tc>
          <w:tcPr>
            <w:tcW w:w="506" w:type="dxa"/>
            <w:tcBorders>
              <w:top w:val="single" w:sz="4" w:space="0" w:color="auto"/>
            </w:tcBorders>
          </w:tcPr>
          <w:p w:rsidR="004B35BC" w:rsidRPr="00A15A1B" w:rsidRDefault="00D56F1F" w:rsidP="0030150A">
            <w:pPr>
              <w:jc w:val="center"/>
              <w:rPr>
                <w:sz w:val="24"/>
                <w:szCs w:val="24"/>
                <w:lang w:eastAsia="uk-UA"/>
              </w:rPr>
            </w:pPr>
            <w:r>
              <w:rPr>
                <w:sz w:val="24"/>
                <w:szCs w:val="24"/>
                <w:lang w:eastAsia="uk-UA"/>
              </w:rPr>
              <w:t>1</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(NSFRк) за всіма валютами</w:t>
            </w:r>
          </w:p>
          <w:p w:rsidR="004B35BC" w:rsidRPr="00A15A1B" w:rsidRDefault="004B35BC" w:rsidP="00F1013D">
            <w:pPr>
              <w:jc w:val="both"/>
              <w:rPr>
                <w:b/>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Коефіцієнт чистого стабільного фінансування (NSFRк) </w:t>
            </w:r>
            <w:r w:rsidR="00845D15">
              <w:rPr>
                <w:b/>
                <w:sz w:val="24"/>
                <w:szCs w:val="24"/>
                <w:lang w:val="uk-UA" w:eastAsia="uk-UA"/>
              </w:rPr>
              <w:t>у</w:t>
            </w:r>
            <w:r w:rsidRPr="00A15A1B">
              <w:rPr>
                <w:b/>
                <w:sz w:val="24"/>
                <w:szCs w:val="24"/>
                <w:lang w:eastAsia="uk-UA"/>
              </w:rPr>
              <w:t xml:space="preserve"> національній валюті</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p w:rsidR="00867FBE" w:rsidRPr="00A15A1B" w:rsidRDefault="004B35BC" w:rsidP="0030150A">
            <w:pPr>
              <w:jc w:val="both"/>
              <w:rPr>
                <w:sz w:val="24"/>
                <w:szCs w:val="24"/>
                <w:lang w:eastAsia="uk-UA"/>
              </w:rPr>
            </w:pPr>
            <w:r w:rsidRPr="00A15A1B">
              <w:rPr>
                <w:sz w:val="24"/>
                <w:szCs w:val="24"/>
                <w:lang w:eastAsia="uk-UA"/>
              </w:rPr>
              <w:t>2. Показник розраховується за всіма активами та зобов’язаннями банку, які здійснені в національній валюті.</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3</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w:t>
            </w:r>
            <w:r w:rsidR="00DB3466" w:rsidRPr="005139FE">
              <w:rPr>
                <w:b/>
                <w:sz w:val="24"/>
                <w:szCs w:val="24"/>
                <w:lang w:val="uk-UA" w:eastAsia="uk-UA"/>
              </w:rPr>
              <w:t>к</w:t>
            </w:r>
            <w:r w:rsidRPr="00A15A1B">
              <w:rPr>
                <w:b/>
                <w:sz w:val="24"/>
                <w:szCs w:val="24"/>
                <w:lang w:eastAsia="uk-UA"/>
              </w:rPr>
              <w:t>) за іноземними валютами</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w:t>
            </w:r>
            <w:r w:rsidR="00F1013D" w:rsidRPr="00F1013D">
              <w:rPr>
                <w:sz w:val="24"/>
                <w:szCs w:val="24"/>
                <w:lang w:eastAsia="uk-UA"/>
              </w:rPr>
              <w:t xml:space="preserve"> 3 </w:t>
            </w:r>
            <w:r w:rsidRPr="00A15A1B">
              <w:rPr>
                <w:sz w:val="24"/>
                <w:szCs w:val="24"/>
                <w:lang w:eastAsia="uk-UA"/>
              </w:rPr>
              <w:t>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t xml:space="preserve">2. Показник розраховується в гривневому еквіваленті за всіма активами та зобов’язаннями банку, які здійснені в іноземній валюті. </w:t>
            </w:r>
          </w:p>
          <w:p w:rsidR="004B35BC" w:rsidRPr="00A15A1B" w:rsidRDefault="004B35BC" w:rsidP="0030150A">
            <w:pPr>
              <w:ind w:firstLine="229"/>
              <w:jc w:val="both"/>
              <w:rPr>
                <w:sz w:val="24"/>
                <w:szCs w:val="24"/>
                <w:lang w:eastAsia="uk-UA"/>
              </w:rPr>
            </w:pPr>
            <w:r w:rsidRPr="00A15A1B">
              <w:rPr>
                <w:sz w:val="24"/>
                <w:szCs w:val="24"/>
                <w:lang w:eastAsia="uk-UA"/>
              </w:rPr>
              <w:t xml:space="preserve">Усі складові чисельника та знаменника </w:t>
            </w:r>
            <w:r w:rsidRPr="005139FE">
              <w:rPr>
                <w:sz w:val="24"/>
                <w:szCs w:val="24"/>
                <w:lang w:eastAsia="uk-UA"/>
              </w:rPr>
              <w:t>NSFR</w:t>
            </w:r>
            <w:r w:rsidR="001D3EC8">
              <w:rPr>
                <w:sz w:val="24"/>
                <w:szCs w:val="24"/>
                <w:lang w:eastAsia="uk-UA"/>
              </w:rPr>
              <w:t>к</w:t>
            </w:r>
            <w:r w:rsidRPr="00A15A1B">
              <w:rPr>
                <w:sz w:val="24"/>
                <w:szCs w:val="24"/>
                <w:lang w:eastAsia="uk-UA"/>
              </w:rPr>
              <w:t xml:space="preserve"> в іноземних валютах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4</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04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наявного стабільного фінансування (ASF)</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ІІІ Методики №1001 та включає суму всіх складових наявного стабільного фінансування (ASF), зважених на відповідні коефіцієнти ASF, визначені в таблиці Додатку 1 до Методики № 1001.</w:t>
            </w:r>
          </w:p>
          <w:p w:rsidR="004B35BC" w:rsidRPr="00A15A1B" w:rsidRDefault="004B35BC" w:rsidP="0030150A">
            <w:pPr>
              <w:jc w:val="both"/>
              <w:rPr>
                <w:b/>
                <w:sz w:val="24"/>
                <w:szCs w:val="24"/>
                <w:lang w:eastAsia="uk-UA"/>
              </w:rPr>
            </w:pPr>
            <w:r w:rsidRPr="00A15A1B">
              <w:rPr>
                <w:sz w:val="24"/>
                <w:szCs w:val="24"/>
                <w:lang w:eastAsia="uk-UA"/>
              </w:rPr>
              <w:t xml:space="preserve">2. До показника включається сума за такими показниками: </w:t>
            </w:r>
            <w:r w:rsidRPr="005139FE">
              <w:rPr>
                <w:sz w:val="24"/>
                <w:szCs w:val="24"/>
                <w:lang w:eastAsia="uk-UA"/>
              </w:rPr>
              <w:t>A6</w:t>
            </w:r>
            <w:r w:rsidRPr="005139FE">
              <w:rPr>
                <w:sz w:val="24"/>
                <w:szCs w:val="24"/>
                <w:lang w:val="en-US" w:eastAsia="uk-UA"/>
              </w:rPr>
              <w:t>NC</w:t>
            </w:r>
            <w:r w:rsidRPr="005139FE">
              <w:rPr>
                <w:sz w:val="24"/>
                <w:szCs w:val="24"/>
                <w:lang w:eastAsia="uk-UA"/>
              </w:rPr>
              <w:t>005</w:t>
            </w:r>
            <w:r w:rsidRPr="00A15A1B">
              <w:rPr>
                <w:sz w:val="24"/>
                <w:szCs w:val="24"/>
                <w:lang w:eastAsia="uk-UA"/>
              </w:rPr>
              <w:t>- A6</w:t>
            </w:r>
            <w:r w:rsidRPr="00A15A1B">
              <w:rPr>
                <w:sz w:val="24"/>
                <w:szCs w:val="24"/>
                <w:lang w:val="en-US" w:eastAsia="uk-UA"/>
              </w:rPr>
              <w:t>NC</w:t>
            </w:r>
            <w:r w:rsidRPr="00A15A1B">
              <w:rPr>
                <w:sz w:val="24"/>
                <w:szCs w:val="24"/>
                <w:lang w:eastAsia="uk-UA"/>
              </w:rPr>
              <w:t>028.</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нефінансових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нефінансових організацій</w:t>
            </w:r>
            <w:r w:rsidR="00DB3466">
              <w:rPr>
                <w:sz w:val="24"/>
                <w:szCs w:val="24"/>
                <w:lang w:eastAsia="uk-UA"/>
              </w:rPr>
              <w:t>,</w:t>
            </w:r>
          </w:p>
        </w:tc>
      </w:tr>
      <w:tr w:rsidR="004B35BC" w:rsidRPr="00A15A1B" w:rsidTr="00B523D2">
        <w:trPr>
          <w:trHeight w:val="134"/>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b/>
                <w:sz w:val="24"/>
                <w:szCs w:val="24"/>
                <w:lang w:eastAsia="uk-UA"/>
              </w:rPr>
              <w:t xml:space="preserve"> </w:t>
            </w: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банків розвитку</w:t>
            </w:r>
          </w:p>
          <w:p w:rsidR="004B35BC" w:rsidRPr="00A15A1B" w:rsidRDefault="004B35BC" w:rsidP="00F1013D">
            <w:pPr>
              <w:jc w:val="both"/>
              <w:rPr>
                <w:b/>
                <w:sz w:val="24"/>
                <w:szCs w:val="24"/>
                <w:lang w:eastAsia="uk-UA"/>
              </w:rPr>
            </w:pPr>
            <w:r w:rsidRPr="00A15A1B">
              <w:rPr>
                <w:sz w:val="24"/>
                <w:szCs w:val="24"/>
                <w:lang w:eastAsia="uk-UA"/>
              </w:rPr>
              <w:t xml:space="preserve">1. Сума за складовою наявного стабільного фінансування – кредити, отримані від </w:t>
            </w:r>
            <w:r w:rsidR="00F1013D">
              <w:rPr>
                <w:sz w:val="24"/>
                <w:szCs w:val="24"/>
                <w:lang w:eastAsia="uk-UA"/>
              </w:rPr>
              <w:t xml:space="preserve">багатосторонніх </w:t>
            </w:r>
            <w:r w:rsidRPr="00A15A1B">
              <w:rPr>
                <w:sz w:val="24"/>
                <w:szCs w:val="24"/>
                <w:lang w:eastAsia="uk-UA"/>
              </w:rPr>
              <w:t>банків розвитку</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інших міжнародних 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інших міжнародних фінансових організацій</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8</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8</w:t>
            </w:r>
          </w:p>
        </w:tc>
        <w:tc>
          <w:tcPr>
            <w:tcW w:w="8280" w:type="dxa"/>
            <w:gridSpan w:val="2"/>
          </w:tcPr>
          <w:p w:rsidR="003325B3" w:rsidRPr="003325B3" w:rsidRDefault="003325B3" w:rsidP="003325B3">
            <w:pPr>
              <w:jc w:val="both"/>
              <w:rPr>
                <w:b/>
                <w:sz w:val="24"/>
                <w:szCs w:val="24"/>
                <w:lang w:val="en-US"/>
              </w:rPr>
            </w:pPr>
            <w:r w:rsidRPr="003325B3">
              <w:rPr>
                <w:b/>
                <w:sz w:val="24"/>
                <w:szCs w:val="24"/>
              </w:rPr>
              <w:t>Сума</w:t>
            </w:r>
            <w:r w:rsidRPr="003325B3">
              <w:rPr>
                <w:b/>
                <w:sz w:val="24"/>
                <w:szCs w:val="24"/>
                <w:lang w:val="en-US"/>
              </w:rPr>
              <w:t xml:space="preserve"> </w:t>
            </w:r>
            <w:r w:rsidRPr="003325B3">
              <w:rPr>
                <w:b/>
                <w:sz w:val="24"/>
                <w:szCs w:val="24"/>
              </w:rPr>
              <w:t>власних</w:t>
            </w:r>
            <w:r w:rsidRPr="003325B3">
              <w:rPr>
                <w:b/>
                <w:sz w:val="24"/>
                <w:szCs w:val="24"/>
                <w:lang w:val="en-US"/>
              </w:rPr>
              <w:t xml:space="preserve"> </w:t>
            </w:r>
            <w:r w:rsidRPr="003325B3">
              <w:rPr>
                <w:b/>
                <w:sz w:val="24"/>
                <w:szCs w:val="24"/>
              </w:rPr>
              <w:t>інструментів</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із</w:t>
            </w:r>
            <w:r w:rsidRPr="003325B3">
              <w:rPr>
                <w:b/>
                <w:sz w:val="24"/>
                <w:szCs w:val="24"/>
                <w:lang w:val="en-US"/>
              </w:rPr>
              <w:t xml:space="preserve"> </w:t>
            </w:r>
            <w:r w:rsidRPr="003325B3">
              <w:rPr>
                <w:b/>
                <w:sz w:val="24"/>
                <w:szCs w:val="24"/>
              </w:rPr>
              <w:t>залишковим</w:t>
            </w:r>
            <w:r w:rsidRPr="003325B3">
              <w:rPr>
                <w:b/>
                <w:sz w:val="24"/>
                <w:szCs w:val="24"/>
                <w:lang w:val="en-US"/>
              </w:rPr>
              <w:t xml:space="preserve"> </w:t>
            </w:r>
            <w:r w:rsidRPr="003325B3">
              <w:rPr>
                <w:b/>
                <w:sz w:val="24"/>
                <w:szCs w:val="24"/>
              </w:rPr>
              <w:t>строком</w:t>
            </w:r>
            <w:r w:rsidRPr="003325B3">
              <w:rPr>
                <w:b/>
                <w:sz w:val="24"/>
                <w:szCs w:val="24"/>
                <w:lang w:val="en-US"/>
              </w:rPr>
              <w:t xml:space="preserve"> </w:t>
            </w:r>
            <w:r w:rsidRPr="003325B3">
              <w:rPr>
                <w:b/>
                <w:sz w:val="24"/>
                <w:szCs w:val="24"/>
              </w:rPr>
              <w:t>погашення</w:t>
            </w:r>
            <w:r w:rsidRPr="003325B3">
              <w:rPr>
                <w:b/>
                <w:sz w:val="24"/>
                <w:szCs w:val="24"/>
                <w:lang w:val="en-US"/>
              </w:rPr>
              <w:t xml:space="preserve"> </w:t>
            </w:r>
            <w:r w:rsidRPr="003325B3">
              <w:rPr>
                <w:b/>
                <w:sz w:val="24"/>
                <w:szCs w:val="24"/>
              </w:rPr>
              <w:t>до</w:t>
            </w:r>
            <w:r w:rsidRPr="003325B3">
              <w:rPr>
                <w:b/>
                <w:sz w:val="24"/>
                <w:szCs w:val="24"/>
                <w:lang w:val="en-US"/>
              </w:rPr>
              <w:t xml:space="preserve"> 1 </w:t>
            </w:r>
            <w:r w:rsidRPr="003325B3">
              <w:rPr>
                <w:b/>
                <w:sz w:val="24"/>
                <w:szCs w:val="24"/>
              </w:rPr>
              <w:t>року</w:t>
            </w:r>
            <w:r w:rsidRPr="003325B3">
              <w:rPr>
                <w:b/>
                <w:sz w:val="24"/>
                <w:szCs w:val="24"/>
                <w:lang w:val="en-US"/>
              </w:rPr>
              <w:t xml:space="preserve">, </w:t>
            </w:r>
            <w:r>
              <w:rPr>
                <w:b/>
                <w:sz w:val="24"/>
                <w:szCs w:val="24"/>
                <w:lang w:val="uk-UA"/>
              </w:rPr>
              <w:t xml:space="preserve">на яку </w:t>
            </w:r>
            <w:r w:rsidRPr="003325B3">
              <w:rPr>
                <w:b/>
                <w:sz w:val="24"/>
                <w:szCs w:val="24"/>
              </w:rPr>
              <w:t>зменшуються</w:t>
            </w:r>
            <w:r w:rsidRPr="003325B3">
              <w:rPr>
                <w:b/>
                <w:sz w:val="24"/>
                <w:szCs w:val="24"/>
                <w:lang w:val="en-US"/>
              </w:rPr>
              <w:t xml:space="preserve"> </w:t>
            </w:r>
            <w:r w:rsidRPr="003325B3">
              <w:rPr>
                <w:b/>
                <w:sz w:val="24"/>
                <w:szCs w:val="24"/>
              </w:rPr>
              <w:t>складові</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під</w:t>
            </w:r>
            <w:r w:rsidRPr="003325B3">
              <w:rPr>
                <w:b/>
                <w:sz w:val="24"/>
                <w:szCs w:val="24"/>
                <w:lang w:val="en-US"/>
              </w:rPr>
              <w:t xml:space="preserve"> </w:t>
            </w:r>
            <w:r w:rsidRPr="003325B3">
              <w:rPr>
                <w:b/>
                <w:sz w:val="24"/>
                <w:szCs w:val="24"/>
              </w:rPr>
              <w:t>час</w:t>
            </w:r>
            <w:r w:rsidRPr="003325B3">
              <w:rPr>
                <w:b/>
                <w:sz w:val="24"/>
                <w:szCs w:val="24"/>
                <w:lang w:val="en-US"/>
              </w:rPr>
              <w:t xml:space="preserve"> </w:t>
            </w:r>
            <w:r w:rsidRPr="003325B3">
              <w:rPr>
                <w:b/>
                <w:sz w:val="24"/>
                <w:szCs w:val="24"/>
              </w:rPr>
              <w:t>розрахунку</w:t>
            </w:r>
            <w:r w:rsidRPr="003325B3">
              <w:rPr>
                <w:b/>
                <w:sz w:val="24"/>
                <w:szCs w:val="24"/>
                <w:lang w:val="en-US"/>
              </w:rPr>
              <w:t xml:space="preserve"> NSFR</w:t>
            </w:r>
            <w:r w:rsidRPr="003325B3">
              <w:rPr>
                <w:b/>
                <w:sz w:val="24"/>
                <w:szCs w:val="24"/>
              </w:rPr>
              <w:t>к</w:t>
            </w:r>
          </w:p>
          <w:p w:rsidR="004B35BC" w:rsidRPr="003325B3" w:rsidRDefault="003325B3" w:rsidP="003325B3">
            <w:pPr>
              <w:jc w:val="both"/>
              <w:rPr>
                <w:b/>
                <w:sz w:val="24"/>
                <w:szCs w:val="24"/>
                <w:lang w:val="uk-UA" w:eastAsia="uk-UA"/>
              </w:rPr>
            </w:pPr>
            <w:r w:rsidRPr="003325B3">
              <w:rPr>
                <w:sz w:val="24"/>
                <w:szCs w:val="24"/>
                <w:lang w:val="uk-UA"/>
              </w:rPr>
              <w:t>1. Показник є розрахунковим та визначається як сума (вартість) власних інструментів капіталу (включаючи власні інструменти у складі частки меншості) із залишко</w:t>
            </w:r>
            <w:r w:rsidRPr="003325B3">
              <w:rPr>
                <w:sz w:val="24"/>
                <w:szCs w:val="24"/>
                <w:lang w:val="uk-UA"/>
              </w:rPr>
              <w:softHyphen/>
              <w:t>вим строком погашення до 1 року, включених до регулятивного капіталу кредитно-інвестиційної підгрупи банківської групи згідно з вимогами Положення №</w:t>
            </w:r>
            <w:r w:rsidRPr="00264BAC">
              <w:rPr>
                <w:sz w:val="24"/>
                <w:szCs w:val="24"/>
                <w:lang w:val="en-US"/>
              </w:rPr>
              <w:t> </w:t>
            </w:r>
            <w:r w:rsidRPr="003325B3">
              <w:rPr>
                <w:sz w:val="24"/>
                <w:szCs w:val="24"/>
                <w:lang w:val="uk-UA"/>
              </w:rPr>
              <w:t>254.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9</w:t>
            </w:r>
          </w:p>
        </w:tc>
        <w:tc>
          <w:tcPr>
            <w:tcW w:w="8280" w:type="dxa"/>
            <w:gridSpan w:val="2"/>
          </w:tcPr>
          <w:p w:rsidR="003325B3" w:rsidRPr="003325B3" w:rsidRDefault="003325B3" w:rsidP="003325B3">
            <w:pPr>
              <w:jc w:val="both"/>
              <w:rPr>
                <w:b/>
                <w:sz w:val="24"/>
                <w:szCs w:val="24"/>
              </w:rPr>
            </w:pPr>
            <w:r w:rsidRPr="003325B3">
              <w:rPr>
                <w:b/>
                <w:sz w:val="24"/>
                <w:szCs w:val="24"/>
              </w:rPr>
              <w:t xml:space="preserve">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 </w:t>
            </w:r>
          </w:p>
          <w:p w:rsidR="004B35BC" w:rsidRPr="003325B3" w:rsidRDefault="003325B3" w:rsidP="003325B3">
            <w:pPr>
              <w:jc w:val="both"/>
              <w:rPr>
                <w:b/>
                <w:sz w:val="24"/>
                <w:szCs w:val="24"/>
                <w:lang w:eastAsia="uk-UA"/>
              </w:rPr>
            </w:pPr>
            <w:r w:rsidRPr="003325B3">
              <w:rPr>
                <w:sz w:val="24"/>
                <w:szCs w:val="24"/>
              </w:rPr>
              <w:t>1. Сума за складовою наявного стабільного фінансування – 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w:t>
            </w:r>
          </w:p>
        </w:tc>
      </w:tr>
      <w:tr w:rsidR="003325B3" w:rsidRPr="00A15A1B" w:rsidTr="00E0309B">
        <w:trPr>
          <w:trHeight w:val="562"/>
          <w:jc w:val="center"/>
        </w:trPr>
        <w:tc>
          <w:tcPr>
            <w:tcW w:w="506" w:type="dxa"/>
            <w:vMerge/>
          </w:tcPr>
          <w:p w:rsidR="003325B3" w:rsidRPr="00A15A1B" w:rsidRDefault="003325B3" w:rsidP="0030150A">
            <w:pPr>
              <w:jc w:val="center"/>
              <w:rPr>
                <w:sz w:val="24"/>
                <w:szCs w:val="24"/>
                <w:lang w:eastAsia="uk-UA"/>
              </w:rPr>
            </w:pPr>
          </w:p>
        </w:tc>
        <w:tc>
          <w:tcPr>
            <w:tcW w:w="1150" w:type="dxa"/>
            <w:vMerge/>
          </w:tcPr>
          <w:p w:rsidR="003325B3" w:rsidRPr="00A15A1B" w:rsidRDefault="003325B3" w:rsidP="0030150A">
            <w:pPr>
              <w:jc w:val="center"/>
              <w:rPr>
                <w:sz w:val="24"/>
                <w:szCs w:val="24"/>
                <w:lang w:eastAsia="uk-UA"/>
              </w:rPr>
            </w:pPr>
          </w:p>
        </w:tc>
        <w:tc>
          <w:tcPr>
            <w:tcW w:w="1263" w:type="dxa"/>
            <w:vMerge/>
          </w:tcPr>
          <w:p w:rsidR="003325B3" w:rsidRPr="00A15A1B" w:rsidRDefault="003325B3" w:rsidP="0030150A">
            <w:pPr>
              <w:jc w:val="center"/>
              <w:rPr>
                <w:sz w:val="24"/>
                <w:szCs w:val="24"/>
                <w:lang w:eastAsia="uk-UA"/>
              </w:rPr>
            </w:pPr>
          </w:p>
        </w:tc>
        <w:tc>
          <w:tcPr>
            <w:tcW w:w="3744" w:type="dxa"/>
          </w:tcPr>
          <w:p w:rsidR="003325B3" w:rsidRPr="00A15A1B" w:rsidRDefault="003325B3" w:rsidP="0030150A">
            <w:pPr>
              <w:jc w:val="both"/>
              <w:rPr>
                <w:b/>
                <w:sz w:val="24"/>
                <w:szCs w:val="24"/>
                <w:lang w:eastAsia="uk-UA"/>
              </w:rPr>
            </w:pPr>
            <w:r w:rsidRPr="00A15A1B">
              <w:rPr>
                <w:sz w:val="24"/>
                <w:szCs w:val="24"/>
                <w:lang w:eastAsia="uk-UA"/>
              </w:rPr>
              <w:t xml:space="preserve">з урахуванням: </w:t>
            </w:r>
          </w:p>
        </w:tc>
        <w:tc>
          <w:tcPr>
            <w:tcW w:w="4536" w:type="dxa"/>
          </w:tcPr>
          <w:p w:rsidR="003325B3" w:rsidRPr="003325B3" w:rsidRDefault="003325B3" w:rsidP="0030150A">
            <w:pPr>
              <w:jc w:val="both"/>
              <w:rPr>
                <w:b/>
                <w:sz w:val="24"/>
                <w:szCs w:val="24"/>
                <w:lang w:eastAsia="uk-UA"/>
              </w:rPr>
            </w:pPr>
            <w:r w:rsidRPr="003325B3">
              <w:rPr>
                <w:sz w:val="24"/>
                <w:szCs w:val="24"/>
              </w:rPr>
              <w:t>R020(GR=366)/T020(1,2)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10</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фізичних осіб)</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фізичних осіб),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R020(GR=368)/T020(1,2)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1</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суб’єктів господарювання та бюджетних установ)</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СГД та бюджетних установ),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2</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міжнародних банків розвитку)</w:t>
            </w:r>
          </w:p>
          <w:p w:rsidR="004B35BC" w:rsidRPr="003325B3" w:rsidRDefault="003325B3" w:rsidP="00F1013D">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w:t>
            </w:r>
            <w:r w:rsidR="00F1013D">
              <w:rPr>
                <w:sz w:val="24"/>
                <w:szCs w:val="24"/>
                <w:lang w:val="uk-UA"/>
              </w:rPr>
              <w:t xml:space="preserve">багатосторонніх </w:t>
            </w:r>
            <w:r w:rsidRPr="003325B3">
              <w:rPr>
                <w:sz w:val="24"/>
                <w:szCs w:val="24"/>
                <w:lang w:val="uk-UA"/>
              </w:rPr>
              <w:t xml:space="preserve">банків розвитку),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3</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міжнародних нефінансових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нефінансових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 xml:space="preserve">,  </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4</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інших міжнародних 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інших міжнародних 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5</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банків та небанківських фінансових установ)</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банків та небанківських фінансових установ),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фізичних осіб</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фізичних осіб</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 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R020(2942)/T020(2)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суб’єктів господарювання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СГД</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бюджетних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бюджетних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небанківських фінансових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небанківських фінансових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w:t>
            </w:r>
            <w:r w:rsidRPr="00A15A1B">
              <w:rPr>
                <w:sz w:val="24"/>
                <w:szCs w:val="24"/>
                <w:lang w:val="en-US" w:eastAsia="uk-UA"/>
              </w:rPr>
              <w:t>1,</w:t>
            </w:r>
            <w:r w:rsidRPr="00A15A1B">
              <w:rPr>
                <w:sz w:val="24"/>
                <w:szCs w:val="24"/>
                <w:lang w:eastAsia="uk-UA"/>
              </w:rPr>
              <w:t>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Національного банку</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R020(1922)/T020(2)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інших банків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інших банків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R020(GR=161)/T020(1,2)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власного боргу, крім ощадних сертифікатів</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наявного стабільного фінансування – цінні папери власного боргу, крім ощадних сертифікатів,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R020(3661)/T020(2)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23</w:t>
            </w:r>
          </w:p>
        </w:tc>
        <w:tc>
          <w:tcPr>
            <w:tcW w:w="1150"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Ощадні сертифікати</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ощадні сертифікати</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R020(GR=332)/T020(1,2)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R020(GR=333)/T020(1,2)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суб’єктами господарювання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СГД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 Національним банком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з Національного банку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R020(GR=132)/T020(1,2)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банками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банками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R020(1912)/T020(2)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027</w:t>
            </w:r>
          </w:p>
        </w:tc>
        <w:tc>
          <w:tcPr>
            <w:tcW w:w="8280" w:type="dxa"/>
            <w:gridSpan w:val="2"/>
          </w:tcPr>
          <w:p w:rsidR="004B35BC" w:rsidRPr="004B35BC" w:rsidRDefault="004B35BC" w:rsidP="0030150A">
            <w:pPr>
              <w:jc w:val="both"/>
              <w:rPr>
                <w:b/>
                <w:sz w:val="24"/>
                <w:szCs w:val="24"/>
                <w:lang w:val="en-US" w:eastAsia="uk-UA"/>
              </w:rPr>
            </w:pPr>
            <w:r w:rsidRPr="00A15A1B">
              <w:rPr>
                <w:b/>
                <w:sz w:val="24"/>
                <w:szCs w:val="24"/>
                <w:lang w:eastAsia="uk-UA"/>
              </w:rPr>
              <w:t>Усі</w:t>
            </w:r>
            <w:r w:rsidRPr="004B35BC">
              <w:rPr>
                <w:b/>
                <w:sz w:val="24"/>
                <w:szCs w:val="24"/>
                <w:lang w:val="en-US" w:eastAsia="uk-UA"/>
              </w:rPr>
              <w:t xml:space="preserve"> </w:t>
            </w:r>
            <w:r w:rsidRPr="00A15A1B">
              <w:rPr>
                <w:b/>
                <w:sz w:val="24"/>
                <w:szCs w:val="24"/>
                <w:lang w:eastAsia="uk-UA"/>
              </w:rPr>
              <w:t>інші</w:t>
            </w:r>
            <w:r w:rsidRPr="004B35BC">
              <w:rPr>
                <w:b/>
                <w:sz w:val="24"/>
                <w:szCs w:val="24"/>
                <w:lang w:val="en-US" w:eastAsia="uk-UA"/>
              </w:rPr>
              <w:t xml:space="preserve"> </w:t>
            </w:r>
            <w:r w:rsidRPr="00A15A1B">
              <w:rPr>
                <w:b/>
                <w:sz w:val="24"/>
                <w:szCs w:val="24"/>
                <w:lang w:eastAsia="uk-UA"/>
              </w:rPr>
              <w:t>зобов</w:t>
            </w:r>
            <w:r w:rsidRPr="004B35BC">
              <w:rPr>
                <w:b/>
                <w:sz w:val="24"/>
                <w:szCs w:val="24"/>
                <w:lang w:val="en-US" w:eastAsia="uk-UA"/>
              </w:rPr>
              <w:t>'</w:t>
            </w:r>
            <w:r w:rsidRPr="00A15A1B">
              <w:rPr>
                <w:b/>
                <w:sz w:val="24"/>
                <w:szCs w:val="24"/>
                <w:lang w:eastAsia="uk-UA"/>
              </w:rPr>
              <w:t>язання</w:t>
            </w:r>
          </w:p>
          <w:p w:rsidR="004B35BC" w:rsidRPr="00245A86" w:rsidRDefault="004B35BC" w:rsidP="0030150A">
            <w:pPr>
              <w:jc w:val="both"/>
              <w:rPr>
                <w:b/>
                <w:sz w:val="24"/>
                <w:szCs w:val="24"/>
                <w:lang w:val="en-US" w:eastAsia="uk-UA"/>
              </w:rPr>
            </w:pPr>
            <w:r w:rsidRPr="00245A86">
              <w:rPr>
                <w:sz w:val="24"/>
                <w:szCs w:val="24"/>
                <w:lang w:val="en-US" w:eastAsia="uk-UA"/>
              </w:rPr>
              <w:t xml:space="preserve">1. </w:t>
            </w:r>
            <w:r w:rsidRPr="00A15A1B">
              <w:rPr>
                <w:sz w:val="24"/>
                <w:szCs w:val="24"/>
                <w:lang w:eastAsia="uk-UA"/>
              </w:rPr>
              <w:t>Сума</w:t>
            </w:r>
            <w:r w:rsidRPr="00245A86">
              <w:rPr>
                <w:sz w:val="24"/>
                <w:szCs w:val="24"/>
                <w:lang w:val="en-US" w:eastAsia="uk-UA"/>
              </w:rPr>
              <w:t xml:space="preserve"> </w:t>
            </w:r>
            <w:r w:rsidRPr="00A15A1B">
              <w:rPr>
                <w:sz w:val="24"/>
                <w:szCs w:val="24"/>
                <w:lang w:eastAsia="uk-UA"/>
              </w:rPr>
              <w:t>за</w:t>
            </w:r>
            <w:r w:rsidRPr="00245A86">
              <w:rPr>
                <w:sz w:val="24"/>
                <w:szCs w:val="24"/>
                <w:lang w:val="en-US" w:eastAsia="uk-UA"/>
              </w:rPr>
              <w:t xml:space="preserve"> </w:t>
            </w:r>
            <w:r w:rsidRPr="00A15A1B">
              <w:rPr>
                <w:sz w:val="24"/>
                <w:szCs w:val="24"/>
                <w:lang w:eastAsia="uk-UA"/>
              </w:rPr>
              <w:t>складовою</w:t>
            </w:r>
            <w:r w:rsidRPr="00245A86">
              <w:rPr>
                <w:sz w:val="24"/>
                <w:szCs w:val="24"/>
                <w:lang w:val="en-US" w:eastAsia="uk-UA"/>
              </w:rPr>
              <w:t xml:space="preserve"> </w:t>
            </w:r>
            <w:r w:rsidRPr="00A15A1B">
              <w:rPr>
                <w:sz w:val="24"/>
                <w:szCs w:val="24"/>
                <w:lang w:eastAsia="uk-UA"/>
              </w:rPr>
              <w:t>наявного</w:t>
            </w:r>
            <w:r w:rsidRPr="00245A86">
              <w:rPr>
                <w:sz w:val="24"/>
                <w:szCs w:val="24"/>
                <w:lang w:val="en-US" w:eastAsia="uk-UA"/>
              </w:rPr>
              <w:t xml:space="preserve"> </w:t>
            </w:r>
            <w:r w:rsidRPr="00A15A1B">
              <w:rPr>
                <w:sz w:val="24"/>
                <w:szCs w:val="24"/>
                <w:lang w:eastAsia="uk-UA"/>
              </w:rPr>
              <w:t>стабільного</w:t>
            </w:r>
            <w:r w:rsidRPr="00245A86">
              <w:rPr>
                <w:sz w:val="24"/>
                <w:szCs w:val="24"/>
                <w:lang w:val="en-US" w:eastAsia="uk-UA"/>
              </w:rPr>
              <w:t xml:space="preserve"> </w:t>
            </w:r>
            <w:r w:rsidRPr="00A15A1B">
              <w:rPr>
                <w:sz w:val="24"/>
                <w:szCs w:val="24"/>
                <w:lang w:eastAsia="uk-UA"/>
              </w:rPr>
              <w:t>фінансування</w:t>
            </w:r>
            <w:r w:rsidRPr="00245A86">
              <w:rPr>
                <w:sz w:val="24"/>
                <w:szCs w:val="24"/>
                <w:lang w:val="en-US" w:eastAsia="uk-UA"/>
              </w:rPr>
              <w:t xml:space="preserve"> – </w:t>
            </w:r>
            <w:r w:rsidRPr="00A15A1B">
              <w:rPr>
                <w:sz w:val="24"/>
                <w:szCs w:val="24"/>
                <w:lang w:eastAsia="uk-UA"/>
              </w:rPr>
              <w:t>усі</w:t>
            </w:r>
            <w:r w:rsidRPr="00245A86">
              <w:rPr>
                <w:sz w:val="24"/>
                <w:szCs w:val="24"/>
                <w:lang w:val="en-US" w:eastAsia="uk-UA"/>
              </w:rPr>
              <w:t xml:space="preserve">  </w:t>
            </w:r>
            <w:r w:rsidRPr="00A15A1B">
              <w:rPr>
                <w:sz w:val="24"/>
                <w:szCs w:val="24"/>
                <w:lang w:eastAsia="uk-UA"/>
              </w:rPr>
              <w:t>інші</w:t>
            </w:r>
            <w:r w:rsidRPr="00245A86">
              <w:rPr>
                <w:sz w:val="24"/>
                <w:szCs w:val="24"/>
                <w:lang w:val="en-US" w:eastAsia="uk-UA"/>
              </w:rPr>
              <w:t xml:space="preserve"> </w:t>
            </w:r>
            <w:r w:rsidRPr="00A15A1B">
              <w:rPr>
                <w:sz w:val="24"/>
                <w:szCs w:val="24"/>
                <w:lang w:eastAsia="uk-UA"/>
              </w:rPr>
              <w:t>зобов</w:t>
            </w:r>
            <w:r w:rsidRPr="00245A86">
              <w:rPr>
                <w:sz w:val="24"/>
                <w:szCs w:val="24"/>
                <w:lang w:val="en-US" w:eastAsia="uk-UA"/>
              </w:rPr>
              <w:t>'</w:t>
            </w:r>
            <w:r w:rsidRPr="00A15A1B">
              <w:rPr>
                <w:sz w:val="24"/>
                <w:szCs w:val="24"/>
                <w:lang w:eastAsia="uk-UA"/>
              </w:rPr>
              <w:t>язання</w:t>
            </w:r>
            <w:r w:rsidR="00DB3466" w:rsidRPr="00245A86">
              <w:rPr>
                <w:sz w:val="24"/>
                <w:szCs w:val="24"/>
                <w:lang w:val="en-US" w:eastAsia="uk-UA"/>
              </w:rPr>
              <w:t>,</w:t>
            </w:r>
          </w:p>
        </w:tc>
      </w:tr>
      <w:tr w:rsidR="004B35BC" w:rsidRPr="00A15A1B" w:rsidTr="00B523D2">
        <w:trPr>
          <w:jc w:val="center"/>
        </w:trPr>
        <w:tc>
          <w:tcPr>
            <w:tcW w:w="506" w:type="dxa"/>
            <w:vMerge/>
          </w:tcPr>
          <w:p w:rsidR="004B35BC" w:rsidRPr="00245A86" w:rsidRDefault="004B35BC" w:rsidP="0030150A">
            <w:pPr>
              <w:jc w:val="center"/>
              <w:rPr>
                <w:sz w:val="24"/>
                <w:szCs w:val="24"/>
                <w:lang w:val="en-US" w:eastAsia="uk-UA"/>
              </w:rPr>
            </w:pPr>
          </w:p>
        </w:tc>
        <w:tc>
          <w:tcPr>
            <w:tcW w:w="1150" w:type="dxa"/>
            <w:vMerge/>
          </w:tcPr>
          <w:p w:rsidR="004B35BC" w:rsidRPr="00245A86" w:rsidRDefault="004B35BC" w:rsidP="0030150A">
            <w:pPr>
              <w:jc w:val="center"/>
              <w:rPr>
                <w:sz w:val="24"/>
                <w:szCs w:val="24"/>
                <w:lang w:val="en-US" w:eastAsia="uk-UA"/>
              </w:rPr>
            </w:pPr>
          </w:p>
        </w:tc>
        <w:tc>
          <w:tcPr>
            <w:tcW w:w="1263" w:type="dxa"/>
            <w:vMerge/>
          </w:tcPr>
          <w:p w:rsidR="004B35BC" w:rsidRPr="00245A86" w:rsidRDefault="004B35BC" w:rsidP="0030150A">
            <w:pPr>
              <w:jc w:val="center"/>
              <w:rPr>
                <w:sz w:val="24"/>
                <w:szCs w:val="24"/>
                <w:lang w:val="en-US"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R020(3631)/T020(2)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R020(5200)/T020(2)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R020(5300)/T020(2)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R020(9041)/T020(2)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R020(9210)/T020(2)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R020(9360)/T020(2)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28</w:t>
            </w:r>
          </w:p>
        </w:tc>
        <w:tc>
          <w:tcPr>
            <w:tcW w:w="1150" w:type="dxa"/>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Обсяг наявного стабільного фінансування (ASF)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наявного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ASF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наявного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028 не заповнюється, а наявне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005-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027.</w:t>
            </w:r>
          </w:p>
        </w:tc>
      </w:tr>
      <w:tr w:rsidR="004B35BC" w:rsidRPr="00A15A1B" w:rsidTr="00B523D2">
        <w:trPr>
          <w:trHeight w:val="702"/>
          <w:jc w:val="center"/>
        </w:trPr>
        <w:tc>
          <w:tcPr>
            <w:tcW w:w="506" w:type="dxa"/>
          </w:tcPr>
          <w:p w:rsidR="004B35BC" w:rsidRPr="00D56F1F" w:rsidRDefault="00D56F1F" w:rsidP="0030150A">
            <w:pPr>
              <w:jc w:val="center"/>
              <w:rPr>
                <w:sz w:val="24"/>
                <w:szCs w:val="24"/>
                <w:lang w:eastAsia="uk-UA"/>
              </w:rPr>
            </w:pPr>
            <w:r w:rsidRPr="00D56F1F">
              <w:rPr>
                <w:sz w:val="24"/>
                <w:szCs w:val="24"/>
                <w:lang w:eastAsia="uk-UA"/>
              </w:rPr>
              <w:t>29</w:t>
            </w:r>
          </w:p>
        </w:tc>
        <w:tc>
          <w:tcPr>
            <w:tcW w:w="1150" w:type="dxa"/>
          </w:tcPr>
          <w:p w:rsidR="004B35BC" w:rsidRPr="00A15A1B" w:rsidRDefault="004B35BC" w:rsidP="0030150A">
            <w:pPr>
              <w:jc w:val="center"/>
              <w:rPr>
                <w:strike/>
                <w:sz w:val="24"/>
                <w:szCs w:val="24"/>
                <w:lang w:val="en-US" w:eastAsia="uk-UA"/>
              </w:rPr>
            </w:pPr>
            <w:r w:rsidRPr="00A15A1B">
              <w:rPr>
                <w:sz w:val="24"/>
                <w:szCs w:val="24"/>
                <w:lang w:val="en-US" w:eastAsia="uk-UA"/>
              </w:rPr>
              <w:t>RSF</w:t>
            </w:r>
          </w:p>
        </w:tc>
        <w:tc>
          <w:tcPr>
            <w:tcW w:w="1263" w:type="dxa"/>
          </w:tcPr>
          <w:p w:rsidR="004B35BC" w:rsidRPr="00A15A1B" w:rsidRDefault="004B35BC" w:rsidP="0030150A">
            <w:pPr>
              <w:jc w:val="center"/>
              <w:rPr>
                <w:strike/>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w:t>
            </w:r>
            <w:r w:rsidRPr="00A15A1B">
              <w:rPr>
                <w:sz w:val="24"/>
                <w:szCs w:val="24"/>
                <w:lang w:eastAsia="uk-UA"/>
              </w:rPr>
              <w:t xml:space="preserve"> </w:t>
            </w:r>
            <w:r w:rsidRPr="00A15A1B">
              <w:rPr>
                <w:b/>
                <w:sz w:val="24"/>
                <w:szCs w:val="24"/>
                <w:lang w:eastAsia="uk-UA"/>
              </w:rPr>
              <w:t>стабільного фінансування (RSF)</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ІV Методики №</w:t>
            </w:r>
            <w:r w:rsidRPr="00A15A1B">
              <w:rPr>
                <w:sz w:val="24"/>
                <w:szCs w:val="24"/>
                <w:lang w:val="en-US" w:eastAsia="uk-UA"/>
              </w:rPr>
              <w:t> </w:t>
            </w:r>
            <w:r w:rsidRPr="00A15A1B">
              <w:rPr>
                <w:sz w:val="24"/>
                <w:szCs w:val="24"/>
                <w:lang w:eastAsia="uk-UA"/>
              </w:rPr>
              <w:t>1001 та включає суму всіх складових необхідного стабільного фінансування (RSF), зважених на відповідні коефіцієнти RSF, визначені в таблицях 1-3 додатку 2 до Методики № 1001.</w:t>
            </w:r>
          </w:p>
          <w:p w:rsidR="004B35BC" w:rsidRPr="00A15A1B" w:rsidRDefault="004B35BC" w:rsidP="0030150A">
            <w:pPr>
              <w:jc w:val="both"/>
              <w:rPr>
                <w:sz w:val="24"/>
                <w:szCs w:val="24"/>
                <w:lang w:eastAsia="uk-UA"/>
              </w:rPr>
            </w:pPr>
            <w:r w:rsidRPr="00A15A1B">
              <w:rPr>
                <w:sz w:val="24"/>
                <w:szCs w:val="24"/>
                <w:lang w:eastAsia="uk-UA"/>
              </w:rPr>
              <w:t xml:space="preserve">2. До показника включається сума за такими показниками: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030-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6F71CA">
              <w:rPr>
                <w:sz w:val="24"/>
                <w:szCs w:val="24"/>
                <w:lang w:eastAsia="uk-UA"/>
              </w:rPr>
              <w:t>58</w:t>
            </w:r>
            <w:r w:rsidRPr="00A15A1B">
              <w:rPr>
                <w:sz w:val="24"/>
                <w:szCs w:val="24"/>
                <w:lang w:eastAsia="uk-UA"/>
              </w:rPr>
              <w:t>.</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Банкноти та монети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банкноти та монети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R020(1090)/T020(2)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Банківські метали</w:t>
            </w:r>
          </w:p>
          <w:p w:rsidR="004B35BC" w:rsidRPr="00A15A1B" w:rsidRDefault="004B35BC" w:rsidP="008708CC">
            <w:pPr>
              <w:jc w:val="both"/>
              <w:rPr>
                <w:b/>
                <w:sz w:val="24"/>
                <w:szCs w:val="24"/>
                <w:lang w:eastAsia="uk-UA"/>
              </w:rPr>
            </w:pPr>
            <w:r w:rsidRPr="00A15A1B">
              <w:rPr>
                <w:sz w:val="24"/>
                <w:szCs w:val="24"/>
                <w:lang w:eastAsia="uk-UA"/>
              </w:rPr>
              <w:t>1. Сума за складовою необхідного стабільного фінансування – банківські метали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R020(1190)/T020(2)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Національному банку та депозитні сертифікати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Національному банку та  депозитні сертифікати Національного банку</w:t>
            </w:r>
            <w:r w:rsidR="008708CC">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R020(GR=144)/T020(1,2)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які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цінні папери, які є ВЛА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w:t>
            </w:r>
            <w:r w:rsidRPr="00A15A1B">
              <w:rPr>
                <w:sz w:val="24"/>
                <w:szCs w:val="24"/>
                <w:lang w:val="en-US" w:eastAsia="uk-UA"/>
              </w:rPr>
              <w:t>3</w:t>
            </w:r>
            <w:r w:rsidRPr="00A15A1B">
              <w:rPr>
                <w:sz w:val="24"/>
                <w:szCs w:val="24"/>
                <w:lang w:eastAsia="uk-UA"/>
              </w:rPr>
              <w:t>)/T020(1)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R020(9500)/T020(1)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Транзитні та клірингові рахунки за операціями з клієнтами </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транзитні та клірингові рахунки за операціями з клієнтами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R020(3706)/T020(1)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R020(3710)/T020(1)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Національним банком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Національним банком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Вимоги за операціями факторингу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вимоги за операціями факторингу</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Якщо за операціями факторингу залишко</w:t>
            </w:r>
            <w:r w:rsidRPr="00A15A1B">
              <w:rPr>
                <w:sz w:val="24"/>
                <w:szCs w:val="24"/>
                <w:lang w:eastAsia="uk-UA"/>
              </w:rPr>
              <w:softHyphen/>
              <w:t xml:space="preserve">вий строк погашення набуває значення параметра S242=1 (на вимогу), такі </w:t>
            </w:r>
            <w:r w:rsidRPr="00A15A1B">
              <w:rPr>
                <w:sz w:val="24"/>
                <w:szCs w:val="24"/>
                <w:lang w:eastAsia="uk-UA"/>
              </w:rPr>
              <w:lastRenderedPageBreak/>
              <w:t xml:space="preserve">операції включаються до розрахунку </w:t>
            </w:r>
            <w:r w:rsidRPr="00A15A1B">
              <w:rPr>
                <w:sz w:val="24"/>
                <w:szCs w:val="24"/>
                <w:lang w:val="en-US" w:eastAsia="uk-UA"/>
              </w:rPr>
              <w:t>R</w:t>
            </w:r>
            <w:r w:rsidRPr="00A15A1B">
              <w:rPr>
                <w:sz w:val="24"/>
                <w:szCs w:val="24"/>
                <w:lang w:eastAsia="uk-UA"/>
              </w:rPr>
              <w:t>SF з коефіцієнтом, визначеним в таблиці 1 додатку 2 до Методики № 1001 для операцій із залишковим строком погашення до 6 місяців.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37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35% та менше</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35% та менше</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R020(3568)/T020(1)</w:t>
            </w:r>
          </w:p>
        </w:tc>
      </w:tr>
      <w:tr w:rsidR="004B35BC" w:rsidRPr="00A15A1B" w:rsidTr="00B523D2">
        <w:trPr>
          <w:trHeight w:val="31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R020(3569)/T020(2)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більше ніж 35%</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кредити, надані клієнтам (крім банків), зі ступенем ризику </w:t>
            </w:r>
            <w:r w:rsidRPr="00A15A1B">
              <w:rPr>
                <w:sz w:val="24"/>
                <w:szCs w:val="24"/>
                <w:lang w:eastAsia="uk-UA"/>
              </w:rPr>
              <w:lastRenderedPageBreak/>
              <w:t>активів більше ніж 35%</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Боргові цінні папери,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боргові цінні папери,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R020(GR=321)/T020(1,2)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Акції, які пройшли процедуру лістингу на фондовій біржі</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акції, які пройшли процедуру лістингу на фондовій біржі</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R020(GR=300)/T020(1,2)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R020(GR=310)/T020(1,2)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операції зворотного репо з банками, забезпечені  ВЛА,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активами,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банками, забезпечені активами,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w:t>
            </w:r>
            <w:r>
              <w:rPr>
                <w:sz w:val="24"/>
                <w:szCs w:val="24"/>
                <w:lang w:eastAsia="uk-UA"/>
              </w:rPr>
              <w:t>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інших банках</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інших банках</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R020(GR=151)/T020(1,2)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Усі інші активи</w:t>
            </w:r>
          </w:p>
          <w:p w:rsidR="004B35BC" w:rsidRPr="00A15A1B" w:rsidRDefault="004B35BC" w:rsidP="005D5186">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усі інші активи,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055,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r w:rsidR="005D5186">
              <w:rPr>
                <w:sz w:val="24"/>
                <w:szCs w:val="24"/>
                <w:lang w:val="uk-UA"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val="en-US" w:eastAsia="uk-UA"/>
              </w:rPr>
            </w:pP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R020(GR=181)/T020(1)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R020(GR=280)/T020(1)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R020(GR=340)/T020(1)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R020(GR=341)/T020(1)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R020(GR=359)/T020(2)</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R020(GR=410)/T020(1)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R020(4321)/T020(1)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R020(GR=450)/T020(1,2)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R020(4530)/T020(1)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R020(5104)/T020(1)</w:t>
            </w:r>
          </w:p>
        </w:tc>
      </w:tr>
      <w:tr w:rsidR="0038456C" w:rsidRPr="00A15A1B" w:rsidTr="00B523D2">
        <w:trPr>
          <w:jc w:val="center"/>
        </w:trPr>
        <w:tc>
          <w:tcPr>
            <w:tcW w:w="506" w:type="dxa"/>
            <w:vMerge/>
          </w:tcPr>
          <w:p w:rsidR="0038456C" w:rsidRPr="00A15A1B" w:rsidRDefault="0038456C" w:rsidP="0030150A">
            <w:pPr>
              <w:jc w:val="center"/>
              <w:rPr>
                <w:sz w:val="24"/>
                <w:szCs w:val="24"/>
                <w:lang w:eastAsia="uk-UA"/>
              </w:rPr>
            </w:pPr>
          </w:p>
        </w:tc>
        <w:tc>
          <w:tcPr>
            <w:tcW w:w="1150" w:type="dxa"/>
            <w:vMerge/>
          </w:tcPr>
          <w:p w:rsidR="0038456C" w:rsidRPr="00A15A1B" w:rsidRDefault="0038456C" w:rsidP="0030150A">
            <w:pPr>
              <w:jc w:val="center"/>
              <w:rPr>
                <w:sz w:val="24"/>
                <w:szCs w:val="24"/>
                <w:lang w:eastAsia="uk-UA"/>
              </w:rPr>
            </w:pPr>
          </w:p>
        </w:tc>
        <w:tc>
          <w:tcPr>
            <w:tcW w:w="1263" w:type="dxa"/>
            <w:vMerge/>
          </w:tcPr>
          <w:p w:rsidR="0038456C" w:rsidRPr="00A15A1B" w:rsidRDefault="0038456C" w:rsidP="0030150A">
            <w:pPr>
              <w:jc w:val="center"/>
              <w:rPr>
                <w:sz w:val="24"/>
                <w:szCs w:val="24"/>
                <w:lang w:eastAsia="uk-UA"/>
              </w:rPr>
            </w:pPr>
          </w:p>
        </w:tc>
        <w:tc>
          <w:tcPr>
            <w:tcW w:w="3744" w:type="dxa"/>
            <w:vMerge/>
          </w:tcPr>
          <w:p w:rsidR="0038456C" w:rsidRPr="00A15A1B" w:rsidRDefault="0038456C" w:rsidP="0030150A">
            <w:pPr>
              <w:jc w:val="both"/>
              <w:rPr>
                <w:b/>
                <w:sz w:val="24"/>
                <w:szCs w:val="24"/>
                <w:lang w:eastAsia="uk-UA"/>
              </w:rPr>
            </w:pPr>
          </w:p>
        </w:tc>
        <w:tc>
          <w:tcPr>
            <w:tcW w:w="4536" w:type="dxa"/>
          </w:tcPr>
          <w:p w:rsidR="0038456C" w:rsidRPr="0038456C" w:rsidRDefault="0038456C" w:rsidP="0030150A">
            <w:pPr>
              <w:jc w:val="both"/>
              <w:rPr>
                <w:sz w:val="24"/>
                <w:szCs w:val="24"/>
                <w:lang w:eastAsia="uk-UA"/>
              </w:rPr>
            </w:pPr>
            <w:r w:rsidRPr="0038456C">
              <w:rPr>
                <w:sz w:val="24"/>
                <w:szCs w:val="24"/>
                <w:lang w:eastAsia="uk-UA"/>
              </w:rPr>
              <w:t>R020(5105)/T020(1)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пов'язані з торговим фінансуванням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пов'язані з торговим фінансуванням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до отримання за спотовими контрактами (за операціями з облігаціями внутрішньої державної позики та валютними операціями, крім операцій з банківськими металами)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до отримання за спотовими контрактами (за операціями з ОВДП та валютними операціями, крім операцій з банківськими металами)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До показника включається сума операцій, строк яких не перевищує двох робочих днів.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безвідкличні позабалансові зобов'язання</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безвідкличні позабалансові зобов'язання,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045 та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046,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R020(9129)/T020(1)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sz w:val="24"/>
                <w:szCs w:val="24"/>
                <w:lang w:eastAsia="uk-UA"/>
              </w:rPr>
            </w:pPr>
            <w:r w:rsidRPr="00A15A1B">
              <w:rPr>
                <w:sz w:val="24"/>
                <w:szCs w:val="24"/>
                <w:lang w:eastAsia="uk-UA"/>
              </w:rPr>
              <w:t>R020(9350)/T020(1)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позабалансові зобов'язання, які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позабалансові зобов'язання, які не відповідають вимогам щодо повністю працюючих,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 у разі, якщо вони не відповідають вимогам щодо повністю працюючих.</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49</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розміщені як початкова та додаткова маржа за операціями з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розміщені як початкова та додаткова маржа за операціями з деривативами (без урахування операцій з біржовими деривативами за дорученням клієнтів) визначається з урахуванням вимог Інструкції з бухгалтерського обліку операцій з похідними фінансовими інструментами в банках України, затвердженої постановою Правління Національного банку України від 26.12.2018  № 153 (зі змінами).</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lastRenderedPageBreak/>
              <w:t>50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Депозитні сертифікати Національного банку,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депозитні сертифікати Національного банку,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245A86">
              <w:rPr>
                <w:sz w:val="24"/>
                <w:szCs w:val="24"/>
                <w:lang w:val="en-US" w:eastAsia="uk-UA"/>
              </w:rPr>
              <w:t>A</w:t>
            </w:r>
            <w:r w:rsidRPr="00245A86">
              <w:rPr>
                <w:sz w:val="24"/>
                <w:szCs w:val="24"/>
                <w:lang w:eastAsia="uk-UA"/>
              </w:rPr>
              <w:t>6N</w:t>
            </w:r>
            <w:r w:rsidRPr="00245A86">
              <w:rPr>
                <w:sz w:val="24"/>
                <w:szCs w:val="24"/>
                <w:lang w:val="en-US" w:eastAsia="uk-UA"/>
              </w:rPr>
              <w:t>C</w:t>
            </w:r>
            <w:r w:rsidRPr="00245A86">
              <w:rPr>
                <w:sz w:val="24"/>
                <w:szCs w:val="24"/>
                <w:lang w:eastAsia="uk-UA"/>
              </w:rPr>
              <w:t>0</w:t>
            </w:r>
            <w:r w:rsidRPr="00245A86">
              <w:rPr>
                <w:sz w:val="24"/>
                <w:szCs w:val="24"/>
                <w:lang w:val="en-US" w:eastAsia="uk-UA"/>
              </w:rPr>
              <w:t>5</w:t>
            </w:r>
            <w:r w:rsidRPr="00245A86">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цінні папери,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інші цінні папери,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245A86">
            <w:pPr>
              <w:jc w:val="both"/>
              <w:rPr>
                <w:sz w:val="24"/>
                <w:szCs w:val="24"/>
                <w:lang w:eastAsia="uk-UA"/>
              </w:rPr>
            </w:pPr>
            <w:r w:rsidRPr="00A15A1B">
              <w:rPr>
                <w:sz w:val="24"/>
                <w:szCs w:val="24"/>
                <w:lang w:eastAsia="uk-UA"/>
              </w:rPr>
              <w:t>балансових рахунків, які використовуються для формування показник</w:t>
            </w:r>
            <w:r w:rsidR="00245A86">
              <w:rPr>
                <w:sz w:val="24"/>
                <w:szCs w:val="24"/>
                <w:lang w:eastAsia="uk-UA"/>
              </w:rPr>
              <w:t>а</w:t>
            </w:r>
            <w:r w:rsidRPr="00A15A1B">
              <w:rPr>
                <w:sz w:val="24"/>
                <w:szCs w:val="24"/>
                <w:lang w:eastAsia="uk-UA"/>
              </w:rPr>
              <w:t xml:space="preserve">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033</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невизначений строк та до яких застосовується коефіцієнт RSF 50%</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невизначений строк (крім гарантійних депозитів учасників платіжних систем), з урахуванням  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trHeight w:val="84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2. До показника включаються активи у разі, якщо до них застосовується коефіцієнт RSF 50% згідно з таблицею 2 додатку 2 до Методики № 1001.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 xml:space="preserve">3. Активи, що є обтяженими на невизначений строк, до яких застосовуються коефіцієнти RSF як до аналогічних активів, що є необтяженими,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trHeight w:val="56"/>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B430C6" w:rsidRDefault="004B35BC" w:rsidP="0030150A">
            <w:pPr>
              <w:jc w:val="center"/>
              <w:rPr>
                <w:color w:val="FF0000"/>
                <w:sz w:val="24"/>
                <w:szCs w:val="24"/>
                <w:lang w:eastAsia="uk-UA"/>
              </w:rPr>
            </w:pPr>
            <w:r w:rsidRPr="00B430C6">
              <w:rPr>
                <w:sz w:val="24"/>
                <w:szCs w:val="24"/>
                <w:lang w:val="en-US" w:eastAsia="uk-UA"/>
              </w:rPr>
              <w:t>A</w:t>
            </w:r>
            <w:r w:rsidRPr="00B430C6">
              <w:rPr>
                <w:sz w:val="24"/>
                <w:szCs w:val="24"/>
                <w:lang w:eastAsia="uk-UA"/>
              </w:rPr>
              <w:t>6N</w:t>
            </w:r>
            <w:r w:rsidRPr="00B430C6">
              <w:rPr>
                <w:sz w:val="24"/>
                <w:szCs w:val="24"/>
                <w:lang w:val="en-US" w:eastAsia="uk-UA"/>
              </w:rPr>
              <w:t>C</w:t>
            </w:r>
            <w:r w:rsidRPr="00B430C6">
              <w:rPr>
                <w:sz w:val="24"/>
                <w:szCs w:val="24"/>
                <w:lang w:eastAsia="uk-UA"/>
              </w:rPr>
              <w:t>0</w:t>
            </w:r>
            <w:r w:rsidRPr="00B430C6">
              <w:rPr>
                <w:sz w:val="24"/>
                <w:szCs w:val="24"/>
                <w:lang w:val="en-US" w:eastAsia="uk-UA"/>
              </w:rPr>
              <w:t>5</w:t>
            </w:r>
            <w:r w:rsidRPr="00B430C6">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B430C6">
              <w:rPr>
                <w:sz w:val="24"/>
                <w:szCs w:val="24"/>
                <w:lang w:eastAsia="uk-UA"/>
              </w:rPr>
              <w:t>та</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B430C6">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не є обтяженими або є обтяженими на період до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не є обтяженими або є обтяженими на період до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позитивного результату переоцінки (актив) за деривативами</w:t>
            </w:r>
          </w:p>
          <w:p w:rsidR="004B35BC" w:rsidRPr="00A15A1B" w:rsidRDefault="004B35BC" w:rsidP="0030150A">
            <w:pPr>
              <w:jc w:val="both"/>
              <w:rPr>
                <w:b/>
                <w:sz w:val="24"/>
                <w:szCs w:val="24"/>
                <w:lang w:eastAsia="uk-UA"/>
              </w:rPr>
            </w:pPr>
            <w:r w:rsidRPr="00A15A1B">
              <w:rPr>
                <w:sz w:val="24"/>
                <w:szCs w:val="24"/>
                <w:lang w:eastAsia="uk-UA"/>
              </w:rPr>
              <w:t>1. Сума для розрахунку складової необхідного стабільного фінансування – загальна сума позитивного результату переоцінки (актив)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R020(GR=304)/T020(1)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R020(GR=314)/T020(1)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від’ємого результату переоцінки (зобов'язання) за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загальна сума від'ємного результату переоцінки (зобов'язання)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R020(GR=336)/T020(2)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58</w:t>
            </w:r>
          </w:p>
        </w:tc>
        <w:tc>
          <w:tcPr>
            <w:tcW w:w="1150" w:type="dxa"/>
          </w:tcPr>
          <w:p w:rsidR="004B35BC" w:rsidRPr="00A15A1B" w:rsidRDefault="004B35BC" w:rsidP="0030150A">
            <w:pPr>
              <w:jc w:val="center"/>
              <w:rPr>
                <w:b/>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b/>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 стабільного фінансування (</w:t>
            </w:r>
            <w:r w:rsidRPr="00A15A1B">
              <w:rPr>
                <w:b/>
                <w:sz w:val="24"/>
                <w:szCs w:val="24"/>
                <w:lang w:val="en-US" w:eastAsia="uk-UA"/>
              </w:rPr>
              <w:t>R</w:t>
            </w:r>
            <w:r w:rsidRPr="00A15A1B">
              <w:rPr>
                <w:b/>
                <w:sz w:val="24"/>
                <w:szCs w:val="24"/>
                <w:lang w:eastAsia="uk-UA"/>
              </w:rPr>
              <w:t xml:space="preserve">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необхідного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RSF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w:t>
            </w:r>
            <w:r w:rsidRPr="00A15A1B">
              <w:rPr>
                <w:sz w:val="24"/>
                <w:szCs w:val="24"/>
                <w:lang w:eastAsia="uk-UA"/>
              </w:rPr>
              <w:lastRenderedPageBreak/>
              <w:t xml:space="preserve">учасниками, вимоги до складових необхідного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058 не заповнюється, а необхідне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r>
      <w:tr w:rsidR="00DE6755" w:rsidRPr="00A15A1B" w:rsidTr="00B523D2">
        <w:trPr>
          <w:jc w:val="center"/>
        </w:trPr>
        <w:tc>
          <w:tcPr>
            <w:tcW w:w="506" w:type="dxa"/>
          </w:tcPr>
          <w:p w:rsidR="00DE6755" w:rsidRDefault="00DE6755" w:rsidP="0030150A">
            <w:pPr>
              <w:jc w:val="center"/>
              <w:rPr>
                <w:sz w:val="24"/>
                <w:szCs w:val="24"/>
                <w:lang w:eastAsia="uk-UA"/>
              </w:rPr>
            </w:pPr>
            <w:r>
              <w:rPr>
                <w:sz w:val="24"/>
                <w:szCs w:val="24"/>
                <w:lang w:eastAsia="uk-UA"/>
              </w:rPr>
              <w:lastRenderedPageBreak/>
              <w:t>59</w:t>
            </w:r>
          </w:p>
        </w:tc>
        <w:tc>
          <w:tcPr>
            <w:tcW w:w="1150" w:type="dxa"/>
          </w:tcPr>
          <w:p w:rsidR="00DE6755" w:rsidRPr="00A15A1B"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w:t>
            </w:r>
            <w:r>
              <w:rPr>
                <w:sz w:val="24"/>
                <w:szCs w:val="24"/>
                <w:lang w:eastAsia="uk-UA"/>
              </w:rPr>
              <w:t>9</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із залишковим строком погашення до одного року, які включені до частки меншості, </w:t>
            </w:r>
            <w:r w:rsidR="00D55DF8">
              <w:rPr>
                <w:b/>
                <w:sz w:val="24"/>
                <w:szCs w:val="24"/>
              </w:rPr>
              <w:t xml:space="preserve">що </w:t>
            </w:r>
            <w:r w:rsidRPr="00AB6BA1">
              <w:rPr>
                <w:b/>
                <w:sz w:val="24"/>
                <w:szCs w:val="24"/>
              </w:rPr>
              <w:t xml:space="preserve">включена до капіталу </w:t>
            </w:r>
            <w:r w:rsidRPr="00AB6BA1">
              <w:rPr>
                <w:b/>
                <w:bCs/>
                <w:sz w:val="24"/>
                <w:szCs w:val="24"/>
              </w:rPr>
              <w:t>кредитно-інвестиційної підгрупи банківської групи, але не включена до складових капіталу</w:t>
            </w:r>
          </w:p>
          <w:p w:rsidR="00DE6755" w:rsidRPr="00AB6BA1" w:rsidRDefault="00DE6755" w:rsidP="00DE6755">
            <w:pPr>
              <w:jc w:val="both"/>
              <w:rPr>
                <w:b/>
                <w:sz w:val="24"/>
                <w:szCs w:val="24"/>
                <w:lang w:val="uk-UA" w:eastAsia="uk-UA"/>
              </w:rPr>
            </w:pPr>
            <w:r w:rsidRPr="00AB6BA1">
              <w:rPr>
                <w:sz w:val="24"/>
                <w:szCs w:val="24"/>
                <w:lang w:val="uk-UA"/>
              </w:rPr>
              <w:t>1. Сума власних інструментів капіталу із залишковим строком погашення до одного року, які включені до частки меншості, яка включена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 але не включена до складових капіталу згідно з підпунктом 1 пункту 8</w:t>
            </w:r>
            <w:r w:rsidRPr="00AB6BA1">
              <w:rPr>
                <w:sz w:val="24"/>
                <w:szCs w:val="24"/>
                <w:vertAlign w:val="superscript"/>
                <w:lang w:val="uk-UA"/>
              </w:rPr>
              <w:t>1</w:t>
            </w:r>
            <w:r w:rsidRPr="00AB6BA1">
              <w:rPr>
                <w:sz w:val="24"/>
                <w:szCs w:val="24"/>
                <w:lang w:val="uk-UA"/>
              </w:rPr>
              <w:t xml:space="preserve"> розділу ІІІ Методики №</w:t>
            </w:r>
            <w:r w:rsidRPr="00AB6BA1">
              <w:rPr>
                <w:sz w:val="24"/>
                <w:szCs w:val="24"/>
              </w:rPr>
              <w:t> </w:t>
            </w:r>
            <w:r w:rsidRPr="00AB6BA1">
              <w:rPr>
                <w:sz w:val="24"/>
                <w:szCs w:val="24"/>
                <w:lang w:val="uk-UA"/>
              </w:rPr>
              <w:t>1001.</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60</w:t>
            </w:r>
          </w:p>
        </w:tc>
        <w:tc>
          <w:tcPr>
            <w:tcW w:w="1150" w:type="dxa"/>
          </w:tcPr>
          <w:p w:rsidR="00DE6755"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60</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які включені до частки меншості, але не включені до капіталу </w:t>
            </w:r>
            <w:r w:rsidRPr="00AB6BA1">
              <w:rPr>
                <w:b/>
                <w:bCs/>
                <w:sz w:val="24"/>
                <w:szCs w:val="24"/>
              </w:rPr>
              <w:t>кредитно-інвестиційної підгрупи банківської групи</w:t>
            </w:r>
          </w:p>
          <w:p w:rsidR="00DE6755" w:rsidRPr="00AB6BA1" w:rsidRDefault="00DE6755" w:rsidP="00DE6755">
            <w:pPr>
              <w:jc w:val="both"/>
              <w:rPr>
                <w:b/>
                <w:sz w:val="24"/>
                <w:szCs w:val="24"/>
                <w:lang w:val="uk-UA"/>
              </w:rPr>
            </w:pPr>
            <w:r w:rsidRPr="00AB6BA1">
              <w:rPr>
                <w:sz w:val="24"/>
                <w:szCs w:val="24"/>
                <w:lang w:val="uk-UA"/>
              </w:rPr>
              <w:t>1. Сума власних інструментів капіталу, які включені до частки меншості, але не включені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61</w:t>
            </w:r>
          </w:p>
        </w:tc>
        <w:tc>
          <w:tcPr>
            <w:tcW w:w="1150" w:type="dxa"/>
          </w:tcPr>
          <w:p w:rsidR="00DE6755" w:rsidRPr="00DE6755" w:rsidRDefault="00DE6755" w:rsidP="00DE6755">
            <w:pPr>
              <w:jc w:val="center"/>
              <w:rPr>
                <w:sz w:val="24"/>
                <w:szCs w:val="24"/>
                <w:lang w:val="uk-UA"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61</w:t>
            </w:r>
          </w:p>
        </w:tc>
        <w:tc>
          <w:tcPr>
            <w:tcW w:w="8280" w:type="dxa"/>
            <w:gridSpan w:val="2"/>
          </w:tcPr>
          <w:p w:rsidR="00264BAC" w:rsidRPr="00264BAC" w:rsidRDefault="00264BAC" w:rsidP="00264BAC">
            <w:pPr>
              <w:jc w:val="both"/>
              <w:rPr>
                <w:sz w:val="24"/>
                <w:szCs w:val="24"/>
                <w:highlight w:val="yellow"/>
              </w:rPr>
            </w:pPr>
            <w:r w:rsidRPr="00264BAC">
              <w:rPr>
                <w:b/>
                <w:bCs/>
                <w:sz w:val="24"/>
                <w:szCs w:val="24"/>
              </w:rPr>
              <w:t>Інші складові частки меншості, які не включені до капіталу кредитно-інвестиційної підгрупи банківської групи</w:t>
            </w:r>
          </w:p>
          <w:p w:rsidR="00DE6755" w:rsidRPr="00264BAC" w:rsidRDefault="00264BAC" w:rsidP="00264BAC">
            <w:pPr>
              <w:jc w:val="both"/>
              <w:rPr>
                <w:b/>
                <w:sz w:val="24"/>
                <w:szCs w:val="24"/>
                <w:lang w:val="uk-UA"/>
              </w:rPr>
            </w:pPr>
            <w:r w:rsidRPr="00264BAC">
              <w:rPr>
                <w:sz w:val="24"/>
                <w:szCs w:val="24"/>
                <w:lang w:val="uk-UA"/>
              </w:rPr>
              <w:t>1. Сума інших складових частки меншості, які не включені до капіталу кредитно-інвестиційної підгрупи банківської групи згідно з Положенням №</w:t>
            </w:r>
            <w:r w:rsidRPr="00264BAC">
              <w:rPr>
                <w:sz w:val="24"/>
                <w:szCs w:val="24"/>
              </w:rPr>
              <w:t> </w:t>
            </w:r>
            <w:r w:rsidRPr="00264BAC">
              <w:rPr>
                <w:sz w:val="24"/>
                <w:szCs w:val="24"/>
                <w:lang w:val="uk-UA"/>
              </w:rPr>
              <w:t>254.</w:t>
            </w:r>
          </w:p>
        </w:tc>
      </w:tr>
    </w:tbl>
    <w:p w:rsidR="000B4FC7" w:rsidRPr="000B4FC7" w:rsidRDefault="000B4FC7" w:rsidP="004B35BC">
      <w:pPr>
        <w:ind w:firstLine="709"/>
        <w:jc w:val="center"/>
        <w:rPr>
          <w:sz w:val="28"/>
          <w:szCs w:val="28"/>
        </w:rPr>
      </w:pPr>
    </w:p>
    <w:sectPr w:rsidR="000B4FC7" w:rsidRPr="000B4FC7" w:rsidSect="00B91D2B">
      <w:headerReference w:type="even" r:id="rId8"/>
      <w:headerReference w:type="default" r:id="rId9"/>
      <w:footerReference w:type="even" r:id="rId10"/>
      <w:footerReference w:type="default" r:id="rId11"/>
      <w:pgSz w:w="16838" w:h="11906" w:orient="landscape"/>
      <w:pgMar w:top="567" w:right="539"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FC8" w:rsidRDefault="00645FC8">
      <w:r>
        <w:separator/>
      </w:r>
    </w:p>
  </w:endnote>
  <w:endnote w:type="continuationSeparator" w:id="0">
    <w:p w:rsidR="00645FC8" w:rsidRDefault="0064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8"/>
    </w:pPr>
  </w:p>
  <w:p w:rsidR="00845D15" w:rsidRDefault="00845D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Pr="00A80B04" w:rsidRDefault="00845D15">
    <w:pPr>
      <w:pStyle w:val="a8"/>
      <w:jc w:val="right"/>
      <w:rPr>
        <w:sz w:val="28"/>
        <w:szCs w:val="28"/>
      </w:rPr>
    </w:pPr>
  </w:p>
  <w:p w:rsidR="00845D15" w:rsidRDefault="00845D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FC8" w:rsidRDefault="00645FC8">
      <w:r>
        <w:separator/>
      </w:r>
    </w:p>
  </w:footnote>
  <w:footnote w:type="continuationSeparator" w:id="0">
    <w:p w:rsidR="00645FC8" w:rsidRDefault="0064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3"/>
    </w:pPr>
  </w:p>
  <w:p w:rsidR="00845D15" w:rsidRDefault="00845D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845D15" w:rsidRPr="005026A1" w:rsidRDefault="00845D15">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8C4502">
          <w:rPr>
            <w:noProof/>
            <w:sz w:val="28"/>
          </w:rPr>
          <w:t>4</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36712EA"/>
    <w:multiLevelType w:val="hybridMultilevel"/>
    <w:tmpl w:val="FFE8041E"/>
    <w:lvl w:ilvl="0" w:tplc="7A7A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589D4548"/>
    <w:multiLevelType w:val="hybridMultilevel"/>
    <w:tmpl w:val="576E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7"/>
  </w:num>
  <w:num w:numId="7">
    <w:abstractNumId w:val="19"/>
  </w:num>
  <w:num w:numId="8">
    <w:abstractNumId w:val="12"/>
  </w:num>
  <w:num w:numId="9">
    <w:abstractNumId w:val="5"/>
  </w:num>
  <w:num w:numId="10">
    <w:abstractNumId w:val="24"/>
  </w:num>
  <w:num w:numId="11">
    <w:abstractNumId w:val="9"/>
  </w:num>
  <w:num w:numId="12">
    <w:abstractNumId w:val="28"/>
  </w:num>
  <w:num w:numId="13">
    <w:abstractNumId w:val="15"/>
  </w:num>
  <w:num w:numId="14">
    <w:abstractNumId w:val="6"/>
  </w:num>
  <w:num w:numId="15">
    <w:abstractNumId w:val="10"/>
  </w:num>
  <w:num w:numId="16">
    <w:abstractNumId w:val="18"/>
  </w:num>
  <w:num w:numId="17">
    <w:abstractNumId w:val="32"/>
  </w:num>
  <w:num w:numId="18">
    <w:abstractNumId w:val="17"/>
  </w:num>
  <w:num w:numId="19">
    <w:abstractNumId w:val="4"/>
  </w:num>
  <w:num w:numId="20">
    <w:abstractNumId w:val="11"/>
  </w:num>
  <w:num w:numId="21">
    <w:abstractNumId w:val="26"/>
  </w:num>
  <w:num w:numId="22">
    <w:abstractNumId w:val="8"/>
  </w:num>
  <w:num w:numId="23">
    <w:abstractNumId w:val="27"/>
  </w:num>
  <w:num w:numId="24">
    <w:abstractNumId w:val="21"/>
  </w:num>
  <w:num w:numId="25">
    <w:abstractNumId w:val="3"/>
  </w:num>
  <w:num w:numId="26">
    <w:abstractNumId w:val="20"/>
  </w:num>
  <w:num w:numId="27">
    <w:abstractNumId w:val="30"/>
  </w:num>
  <w:num w:numId="28">
    <w:abstractNumId w:val="25"/>
  </w:num>
  <w:num w:numId="29">
    <w:abstractNumId w:val="33"/>
  </w:num>
  <w:num w:numId="30">
    <w:abstractNumId w:val="13"/>
  </w:num>
  <w:num w:numId="31">
    <w:abstractNumId w:val="14"/>
  </w:num>
  <w:num w:numId="32">
    <w:abstractNumId w:val="1"/>
  </w:num>
  <w:num w:numId="33">
    <w:abstractNumId w:val="0"/>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956"/>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2F45"/>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5A75"/>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755"/>
    <w:rsid w:val="00167B64"/>
    <w:rsid w:val="00167F45"/>
    <w:rsid w:val="00170D3C"/>
    <w:rsid w:val="0017122D"/>
    <w:rsid w:val="00171667"/>
    <w:rsid w:val="00171856"/>
    <w:rsid w:val="00171EF3"/>
    <w:rsid w:val="00172877"/>
    <w:rsid w:val="00172914"/>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3619"/>
    <w:rsid w:val="001C6BD5"/>
    <w:rsid w:val="001C77F2"/>
    <w:rsid w:val="001C7D3C"/>
    <w:rsid w:val="001D0299"/>
    <w:rsid w:val="001D04D9"/>
    <w:rsid w:val="001D3EC8"/>
    <w:rsid w:val="001D425E"/>
    <w:rsid w:val="001D47C9"/>
    <w:rsid w:val="001D4E88"/>
    <w:rsid w:val="001D5281"/>
    <w:rsid w:val="001D544D"/>
    <w:rsid w:val="001D6050"/>
    <w:rsid w:val="001D77E2"/>
    <w:rsid w:val="001E1E58"/>
    <w:rsid w:val="001E2EA9"/>
    <w:rsid w:val="001E36A2"/>
    <w:rsid w:val="001E4536"/>
    <w:rsid w:val="001E4D51"/>
    <w:rsid w:val="001E4DF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5A86"/>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4BAC"/>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B75D4"/>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D13"/>
    <w:rsid w:val="002F2E88"/>
    <w:rsid w:val="002F3390"/>
    <w:rsid w:val="002F3B0F"/>
    <w:rsid w:val="002F4AE8"/>
    <w:rsid w:val="002F4D5F"/>
    <w:rsid w:val="002F5A4F"/>
    <w:rsid w:val="002F60D0"/>
    <w:rsid w:val="002F7450"/>
    <w:rsid w:val="0030047A"/>
    <w:rsid w:val="00300482"/>
    <w:rsid w:val="003004C8"/>
    <w:rsid w:val="003006B8"/>
    <w:rsid w:val="0030150A"/>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5B3"/>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56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FE2"/>
    <w:rsid w:val="00421561"/>
    <w:rsid w:val="00422C86"/>
    <w:rsid w:val="00423244"/>
    <w:rsid w:val="00423AF5"/>
    <w:rsid w:val="004241B8"/>
    <w:rsid w:val="00424404"/>
    <w:rsid w:val="00424FDA"/>
    <w:rsid w:val="00425993"/>
    <w:rsid w:val="0042611C"/>
    <w:rsid w:val="004262A9"/>
    <w:rsid w:val="0042742D"/>
    <w:rsid w:val="004274B5"/>
    <w:rsid w:val="004277C8"/>
    <w:rsid w:val="0043014C"/>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13A8"/>
    <w:rsid w:val="004A54A1"/>
    <w:rsid w:val="004A5E5D"/>
    <w:rsid w:val="004A7035"/>
    <w:rsid w:val="004B1471"/>
    <w:rsid w:val="004B17BB"/>
    <w:rsid w:val="004B1984"/>
    <w:rsid w:val="004B1D44"/>
    <w:rsid w:val="004B24FD"/>
    <w:rsid w:val="004B35BC"/>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75F"/>
    <w:rsid w:val="004F3A63"/>
    <w:rsid w:val="004F3BCD"/>
    <w:rsid w:val="004F3C00"/>
    <w:rsid w:val="004F43F8"/>
    <w:rsid w:val="004F52F7"/>
    <w:rsid w:val="004F5657"/>
    <w:rsid w:val="004F5ED1"/>
    <w:rsid w:val="004F5FC5"/>
    <w:rsid w:val="004F6339"/>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9FE"/>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2E9"/>
    <w:rsid w:val="00584E5F"/>
    <w:rsid w:val="00584EA8"/>
    <w:rsid w:val="00586E30"/>
    <w:rsid w:val="0058727B"/>
    <w:rsid w:val="005904E6"/>
    <w:rsid w:val="00590723"/>
    <w:rsid w:val="00590A24"/>
    <w:rsid w:val="0059108F"/>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186"/>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5FC8"/>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08AB"/>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313A"/>
    <w:rsid w:val="00694F88"/>
    <w:rsid w:val="00695128"/>
    <w:rsid w:val="006958DE"/>
    <w:rsid w:val="00695BCF"/>
    <w:rsid w:val="00695E35"/>
    <w:rsid w:val="006967B0"/>
    <w:rsid w:val="00697FCF"/>
    <w:rsid w:val="006A0518"/>
    <w:rsid w:val="006A0CD7"/>
    <w:rsid w:val="006A1E11"/>
    <w:rsid w:val="006A2765"/>
    <w:rsid w:val="006A2797"/>
    <w:rsid w:val="006A3FB7"/>
    <w:rsid w:val="006A459C"/>
    <w:rsid w:val="006A5013"/>
    <w:rsid w:val="006A514B"/>
    <w:rsid w:val="006A5D6A"/>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7E1"/>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912"/>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A2A"/>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6E0"/>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2484"/>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5D15"/>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67FBE"/>
    <w:rsid w:val="00870671"/>
    <w:rsid w:val="008708CC"/>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5B4"/>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4502"/>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3CF4"/>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187E"/>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2769"/>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BA1"/>
    <w:rsid w:val="00AB6E2D"/>
    <w:rsid w:val="00AB791F"/>
    <w:rsid w:val="00AB7EAB"/>
    <w:rsid w:val="00AC0B64"/>
    <w:rsid w:val="00AC26D5"/>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3964"/>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0C6"/>
    <w:rsid w:val="00B435D8"/>
    <w:rsid w:val="00B4445D"/>
    <w:rsid w:val="00B44534"/>
    <w:rsid w:val="00B44DF9"/>
    <w:rsid w:val="00B460CC"/>
    <w:rsid w:val="00B46D03"/>
    <w:rsid w:val="00B4725C"/>
    <w:rsid w:val="00B47B56"/>
    <w:rsid w:val="00B47BC2"/>
    <w:rsid w:val="00B47C7A"/>
    <w:rsid w:val="00B523D2"/>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1D2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C6C5B"/>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27A12"/>
    <w:rsid w:val="00C3025C"/>
    <w:rsid w:val="00C30467"/>
    <w:rsid w:val="00C30C40"/>
    <w:rsid w:val="00C31376"/>
    <w:rsid w:val="00C31AEE"/>
    <w:rsid w:val="00C33C38"/>
    <w:rsid w:val="00C33D64"/>
    <w:rsid w:val="00C34348"/>
    <w:rsid w:val="00C352A8"/>
    <w:rsid w:val="00C353CD"/>
    <w:rsid w:val="00C35BDC"/>
    <w:rsid w:val="00C362AF"/>
    <w:rsid w:val="00C367EA"/>
    <w:rsid w:val="00C400C5"/>
    <w:rsid w:val="00C40AAD"/>
    <w:rsid w:val="00C42F79"/>
    <w:rsid w:val="00C434B7"/>
    <w:rsid w:val="00C434EF"/>
    <w:rsid w:val="00C43D9F"/>
    <w:rsid w:val="00C43E86"/>
    <w:rsid w:val="00C453EF"/>
    <w:rsid w:val="00C4591E"/>
    <w:rsid w:val="00C4637A"/>
    <w:rsid w:val="00C47C3C"/>
    <w:rsid w:val="00C504C0"/>
    <w:rsid w:val="00C50748"/>
    <w:rsid w:val="00C50FB4"/>
    <w:rsid w:val="00C518DC"/>
    <w:rsid w:val="00C51B55"/>
    <w:rsid w:val="00C51BEE"/>
    <w:rsid w:val="00C520D0"/>
    <w:rsid w:val="00C522E6"/>
    <w:rsid w:val="00C525F9"/>
    <w:rsid w:val="00C5260A"/>
    <w:rsid w:val="00C53731"/>
    <w:rsid w:val="00C554EF"/>
    <w:rsid w:val="00C5757D"/>
    <w:rsid w:val="00C600A2"/>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5DF8"/>
    <w:rsid w:val="00D56DEC"/>
    <w:rsid w:val="00D56F1F"/>
    <w:rsid w:val="00D573CE"/>
    <w:rsid w:val="00D57BFC"/>
    <w:rsid w:val="00D6149C"/>
    <w:rsid w:val="00D6158B"/>
    <w:rsid w:val="00D6182C"/>
    <w:rsid w:val="00D61E9D"/>
    <w:rsid w:val="00D62228"/>
    <w:rsid w:val="00D62457"/>
    <w:rsid w:val="00D63668"/>
    <w:rsid w:val="00D63917"/>
    <w:rsid w:val="00D63D22"/>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466"/>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755"/>
    <w:rsid w:val="00DE6C7A"/>
    <w:rsid w:val="00DE7412"/>
    <w:rsid w:val="00DE7A1C"/>
    <w:rsid w:val="00DE7EA5"/>
    <w:rsid w:val="00DF077C"/>
    <w:rsid w:val="00DF0F68"/>
    <w:rsid w:val="00DF256B"/>
    <w:rsid w:val="00DF5C3B"/>
    <w:rsid w:val="00DF5E58"/>
    <w:rsid w:val="00DF5F13"/>
    <w:rsid w:val="00DF7862"/>
    <w:rsid w:val="00E011B6"/>
    <w:rsid w:val="00E01E4B"/>
    <w:rsid w:val="00E0309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96D8E"/>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013D"/>
    <w:rsid w:val="00F11966"/>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0AE7"/>
    <w:rsid w:val="00F71E68"/>
    <w:rsid w:val="00F720F6"/>
    <w:rsid w:val="00F7363D"/>
    <w:rsid w:val="00F73B1C"/>
    <w:rsid w:val="00F73CDE"/>
    <w:rsid w:val="00F75E7A"/>
    <w:rsid w:val="00F76C65"/>
    <w:rsid w:val="00F77425"/>
    <w:rsid w:val="00F80428"/>
    <w:rsid w:val="00F80848"/>
    <w:rsid w:val="00F80B7D"/>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3FEB-2E32-4A1D-A563-D1FFA8FD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3655</Words>
  <Characters>31253</Characters>
  <Application>Microsoft Office Word</Application>
  <DocSecurity>4</DocSecurity>
  <Lines>260</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2025-08-08T13:49:00Z</dcterms:created>
  <dcterms:modified xsi:type="dcterms:W3CDTF">2025-08-08T13:49:00Z</dcterms:modified>
</cp:coreProperties>
</file>