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120293"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120293">
        <w:rPr>
          <w:rFonts w:ascii="Times New Roman" w:eastAsia="Times New Roman" w:hAnsi="Times New Roman" w:cs="Times New Roman"/>
          <w:b/>
          <w:sz w:val="28"/>
          <w:szCs w:val="28"/>
          <w:u w:val="single"/>
          <w:lang w:eastAsia="uk-UA"/>
        </w:rPr>
        <w:t>Правила формування показників,</w:t>
      </w:r>
    </w:p>
    <w:p w14:paraId="22F371B2" w14:textId="4357F31D" w:rsidR="007105D8" w:rsidRDefault="00120293" w:rsidP="007B52BE">
      <w:pPr>
        <w:spacing w:after="0" w:line="240" w:lineRule="auto"/>
        <w:ind w:firstLine="709"/>
        <w:jc w:val="center"/>
        <w:rPr>
          <w:rFonts w:ascii="Times New Roman" w:eastAsia="Times New Roman" w:hAnsi="Times New Roman" w:cs="Times New Roman"/>
          <w:b/>
          <w:sz w:val="28"/>
          <w:szCs w:val="28"/>
          <w:u w:val="single"/>
          <w:lang w:eastAsia="uk-UA"/>
        </w:rPr>
      </w:pPr>
      <w:r w:rsidRPr="00120293">
        <w:rPr>
          <w:rFonts w:ascii="Times New Roman" w:eastAsia="Times New Roman" w:hAnsi="Times New Roman" w:cs="Times New Roman"/>
          <w:b/>
          <w:sz w:val="28"/>
          <w:szCs w:val="28"/>
          <w:u w:val="single"/>
          <w:lang w:eastAsia="uk-UA"/>
        </w:rPr>
        <w:t xml:space="preserve">що подаються у звітному </w:t>
      </w:r>
      <w:r w:rsidRPr="001A0BA7">
        <w:rPr>
          <w:rFonts w:ascii="Times New Roman" w:eastAsia="Times New Roman" w:hAnsi="Times New Roman" w:cs="Times New Roman"/>
          <w:b/>
          <w:sz w:val="28"/>
          <w:szCs w:val="28"/>
          <w:u w:val="single"/>
          <w:lang w:eastAsia="uk-UA"/>
        </w:rPr>
        <w:t xml:space="preserve">файлі </w:t>
      </w:r>
      <w:r w:rsidR="00111004">
        <w:rPr>
          <w:rFonts w:ascii="Times New Roman" w:eastAsia="Times New Roman" w:hAnsi="Times New Roman" w:cs="Times New Roman"/>
          <w:b/>
          <w:sz w:val="28"/>
          <w:szCs w:val="28"/>
          <w:u w:val="single"/>
          <w:lang w:val="ru-RU" w:eastAsia="uk-UA"/>
        </w:rPr>
        <w:t>7G</w:t>
      </w:r>
      <w:r w:rsidRPr="001A0BA7">
        <w:rPr>
          <w:rFonts w:ascii="Times New Roman" w:eastAsia="Times New Roman" w:hAnsi="Times New Roman" w:cs="Times New Roman"/>
          <w:b/>
          <w:sz w:val="28"/>
          <w:szCs w:val="28"/>
          <w:u w:val="single"/>
          <w:lang w:eastAsia="uk-UA"/>
        </w:rPr>
        <w:t>X “</w:t>
      </w:r>
      <w:r w:rsidR="007B52BE">
        <w:rPr>
          <w:rFonts w:ascii="Times New Roman" w:eastAsia="Times New Roman" w:hAnsi="Times New Roman" w:cs="Times New Roman"/>
          <w:b/>
          <w:sz w:val="28"/>
          <w:szCs w:val="28"/>
          <w:u w:val="single"/>
          <w:lang w:eastAsia="uk-UA"/>
        </w:rPr>
        <w:t>Дані</w:t>
      </w:r>
      <w:r w:rsidR="007B52BE" w:rsidRPr="007B52BE">
        <w:rPr>
          <w:rFonts w:ascii="Times New Roman" w:eastAsia="Times New Roman" w:hAnsi="Times New Roman" w:cs="Times New Roman"/>
          <w:b/>
          <w:sz w:val="28"/>
          <w:szCs w:val="28"/>
          <w:u w:val="single"/>
          <w:lang w:eastAsia="uk-UA"/>
        </w:rPr>
        <w:t xml:space="preserve"> про процентний ризик банківської книги</w:t>
      </w:r>
      <w:r w:rsidRPr="00120293">
        <w:rPr>
          <w:rFonts w:ascii="Times New Roman" w:eastAsia="Times New Roman" w:hAnsi="Times New Roman" w:cs="Times New Roman"/>
          <w:b/>
          <w:sz w:val="28"/>
          <w:szCs w:val="28"/>
          <w:u w:val="single"/>
          <w:lang w:eastAsia="uk-UA"/>
        </w:rPr>
        <w:t>”</w:t>
      </w:r>
    </w:p>
    <w:p w14:paraId="2C236E08" w14:textId="6640EEBD" w:rsidR="003F4FF1"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29F0C40D" w14:textId="77777777" w:rsidR="00332E03" w:rsidRPr="00332E03" w:rsidRDefault="00FB3F10"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 xml:space="preserve">Файл статистичної звітності </w:t>
      </w:r>
      <w:r w:rsidR="00111004" w:rsidRPr="00332E03">
        <w:rPr>
          <w:rFonts w:ascii="Times New Roman" w:eastAsia="Times New Roman" w:hAnsi="Times New Roman" w:cs="Times New Roman"/>
          <w:bCs/>
          <w:sz w:val="28"/>
          <w:szCs w:val="28"/>
          <w:lang w:val="ru-RU" w:eastAsia="uk-UA"/>
        </w:rPr>
        <w:t>7G</w:t>
      </w:r>
      <w:r w:rsidR="007B52BE" w:rsidRPr="00332E03">
        <w:rPr>
          <w:rFonts w:ascii="Times New Roman" w:eastAsia="Times New Roman" w:hAnsi="Times New Roman" w:cs="Times New Roman"/>
          <w:bCs/>
          <w:sz w:val="28"/>
          <w:szCs w:val="28"/>
          <w:lang w:eastAsia="uk-UA"/>
        </w:rPr>
        <w:t>X “Дані про процентний ризик банківської книги”</w:t>
      </w:r>
      <w:r w:rsidRPr="00332E03">
        <w:rPr>
          <w:rFonts w:ascii="Times New Roman" w:eastAsia="Times New Roman" w:hAnsi="Times New Roman" w:cs="Times New Roman"/>
          <w:bCs/>
          <w:sz w:val="28"/>
          <w:szCs w:val="28"/>
          <w:lang w:eastAsia="uk-UA"/>
        </w:rPr>
        <w:t xml:space="preserve"> розроблено відповідно до Положення про організацію системи управління ризиками в банках України та банківських групах, затвердженого постановою Правління від 11.06.2018 № 64</w:t>
      </w:r>
      <w:r w:rsidR="008D15B8" w:rsidRPr="00332E03">
        <w:rPr>
          <w:rFonts w:ascii="Times New Roman" w:eastAsia="Times New Roman" w:hAnsi="Times New Roman" w:cs="Times New Roman"/>
          <w:bCs/>
          <w:sz w:val="28"/>
          <w:szCs w:val="28"/>
          <w:lang w:eastAsia="uk-UA"/>
        </w:rPr>
        <w:t xml:space="preserve"> (із змінами)</w:t>
      </w:r>
      <w:r w:rsidR="00332E03" w:rsidRPr="00332E03">
        <w:rPr>
          <w:rFonts w:ascii="Times New Roman" w:eastAsia="Times New Roman" w:hAnsi="Times New Roman" w:cs="Times New Roman"/>
          <w:bCs/>
          <w:sz w:val="28"/>
          <w:szCs w:val="28"/>
          <w:lang w:eastAsia="uk-UA"/>
        </w:rPr>
        <w:t xml:space="preserve"> (далі – Положення № 64)</w:t>
      </w:r>
      <w:r w:rsidRPr="00332E03">
        <w:rPr>
          <w:rFonts w:ascii="Times New Roman" w:eastAsia="Times New Roman" w:hAnsi="Times New Roman" w:cs="Times New Roman"/>
          <w:bCs/>
          <w:sz w:val="28"/>
          <w:szCs w:val="28"/>
          <w:lang w:eastAsia="uk-UA"/>
        </w:rPr>
        <w:t>.</w:t>
      </w:r>
    </w:p>
    <w:p w14:paraId="309988EC" w14:textId="7912B2C9" w:rsidR="007B1948" w:rsidRPr="00F4655B" w:rsidRDefault="00894198" w:rsidP="00FF49A4">
      <w:pPr>
        <w:pStyle w:val="a3"/>
        <w:numPr>
          <w:ilvl w:val="0"/>
          <w:numId w:val="35"/>
        </w:numPr>
        <w:spacing w:before="120" w:after="120" w:line="240" w:lineRule="auto"/>
        <w:ind w:left="0" w:firstLine="318"/>
        <w:jc w:val="both"/>
        <w:rPr>
          <w:rFonts w:ascii="Times New Roman" w:hAnsi="Times New Roman" w:cs="Times New Roman"/>
          <w:sz w:val="28"/>
          <w:szCs w:val="28"/>
        </w:rPr>
      </w:pPr>
      <w:r w:rsidRPr="00332E03">
        <w:rPr>
          <w:rFonts w:ascii="Times New Roman" w:eastAsia="Times New Roman" w:hAnsi="Times New Roman" w:cs="Times New Roman"/>
          <w:bCs/>
          <w:sz w:val="28"/>
          <w:szCs w:val="28"/>
          <w:lang w:eastAsia="ru-RU"/>
        </w:rPr>
        <w:t>У файлі статистичної звітності зазначається інформація щодо чутливих та нечутливих до проце</w:t>
      </w:r>
      <w:r w:rsidR="005A2E2C" w:rsidRPr="00332E03">
        <w:rPr>
          <w:rFonts w:ascii="Times New Roman" w:eastAsia="Times New Roman" w:hAnsi="Times New Roman" w:cs="Times New Roman"/>
          <w:bCs/>
          <w:sz w:val="28"/>
          <w:szCs w:val="28"/>
          <w:lang w:eastAsia="ru-RU"/>
        </w:rPr>
        <w:t>нтного ризику банківської книги (далі –</w:t>
      </w:r>
      <w:r w:rsidR="00332E03" w:rsidRPr="00332E03">
        <w:rPr>
          <w:rFonts w:ascii="Times New Roman" w:eastAsia="Times New Roman" w:hAnsi="Times New Roman" w:cs="Times New Roman"/>
          <w:bCs/>
          <w:sz w:val="28"/>
          <w:szCs w:val="28"/>
          <w:lang w:eastAsia="ru-RU"/>
        </w:rPr>
        <w:t xml:space="preserve"> </w:t>
      </w:r>
      <w:r w:rsidR="00332E03" w:rsidRPr="00332E03">
        <w:rPr>
          <w:rFonts w:ascii="Times New Roman" w:eastAsia="Times New Roman" w:hAnsi="Times New Roman" w:cs="Times New Roman"/>
          <w:bCs/>
          <w:sz w:val="28"/>
          <w:szCs w:val="28"/>
          <w:lang w:val="en-US" w:eastAsia="ru-RU"/>
        </w:rPr>
        <w:t>IRRBB</w:t>
      </w:r>
      <w:r w:rsidR="005A2E2C" w:rsidRPr="00332E03">
        <w:rPr>
          <w:rFonts w:ascii="Times New Roman" w:eastAsia="Times New Roman" w:hAnsi="Times New Roman" w:cs="Times New Roman"/>
          <w:bCs/>
          <w:sz w:val="28"/>
          <w:szCs w:val="28"/>
          <w:lang w:eastAsia="ru-RU"/>
        </w:rPr>
        <w:t>) активів</w:t>
      </w:r>
      <w:r w:rsidRPr="00332E03">
        <w:rPr>
          <w:rFonts w:ascii="Times New Roman" w:eastAsia="Times New Roman" w:hAnsi="Times New Roman" w:cs="Times New Roman"/>
          <w:bCs/>
          <w:sz w:val="28"/>
          <w:szCs w:val="28"/>
          <w:lang w:eastAsia="ru-RU"/>
        </w:rPr>
        <w:t>, зобов'язань та позабалансових позицій у банківській книзі за визначеними часовими інтервалами</w:t>
      </w:r>
      <w:r w:rsidR="00332E03" w:rsidRPr="00332E03">
        <w:rPr>
          <w:rFonts w:ascii="Times New Roman" w:eastAsia="Times New Roman" w:hAnsi="Times New Roman" w:cs="Times New Roman"/>
          <w:bCs/>
          <w:sz w:val="28"/>
          <w:szCs w:val="28"/>
          <w:lang w:eastAsia="ru-RU"/>
        </w:rPr>
        <w:t xml:space="preserve"> за величиною майбутніх грошових потоків, які використовуються для визначення IRRBB згідно з вимогами Положення № 64</w:t>
      </w:r>
      <w:r w:rsidRPr="00332E03">
        <w:rPr>
          <w:rFonts w:ascii="Times New Roman" w:eastAsia="Times New Roman" w:hAnsi="Times New Roman" w:cs="Times New Roman"/>
          <w:bCs/>
          <w:sz w:val="28"/>
          <w:szCs w:val="28"/>
          <w:lang w:eastAsia="ru-RU"/>
        </w:rPr>
        <w:t>.</w:t>
      </w:r>
    </w:p>
    <w:p w14:paraId="1B3258CB" w14:textId="27028E0E" w:rsidR="00F4655B" w:rsidRPr="00132DD1" w:rsidRDefault="00F4655B" w:rsidP="00132DD1">
      <w:pPr>
        <w:pStyle w:val="a3"/>
        <w:numPr>
          <w:ilvl w:val="0"/>
          <w:numId w:val="35"/>
        </w:numPr>
        <w:spacing w:before="120" w:after="120" w:line="240" w:lineRule="auto"/>
        <w:jc w:val="both"/>
        <w:rPr>
          <w:rFonts w:ascii="Times New Roman" w:eastAsia="Times New Roman" w:hAnsi="Times New Roman" w:cs="Times New Roman"/>
          <w:bCs/>
          <w:sz w:val="28"/>
          <w:szCs w:val="28"/>
          <w:lang w:eastAsia="ru-RU"/>
        </w:rPr>
      </w:pPr>
      <w:r w:rsidRPr="00132DD1">
        <w:rPr>
          <w:rFonts w:ascii="Times New Roman" w:eastAsia="Times New Roman" w:hAnsi="Times New Roman" w:cs="Times New Roman"/>
          <w:bCs/>
          <w:sz w:val="28"/>
          <w:szCs w:val="28"/>
          <w:lang w:eastAsia="ru-RU"/>
        </w:rPr>
        <w:t>Ін</w:t>
      </w:r>
      <w:r w:rsidRPr="00132DD1">
        <w:rPr>
          <w:rFonts w:ascii="Times New Roman" w:eastAsia="Times New Roman" w:hAnsi="Times New Roman" w:cs="Times New Roman"/>
          <w:bCs/>
          <w:sz w:val="28"/>
          <w:szCs w:val="28"/>
          <w:lang w:eastAsia="uk-UA"/>
        </w:rPr>
        <w:t>струментами</w:t>
      </w:r>
      <w:r w:rsidRPr="00132DD1">
        <w:rPr>
          <w:rFonts w:ascii="Times New Roman" w:eastAsia="Times New Roman" w:hAnsi="Times New Roman" w:cs="Times New Roman"/>
          <w:bCs/>
          <w:sz w:val="28"/>
          <w:szCs w:val="28"/>
          <w:lang w:eastAsia="ru-RU"/>
        </w:rPr>
        <w:t>, чутливими до IRRBB, є активи, зобов’язання та позабалансові статті, за винятком:</w:t>
      </w:r>
    </w:p>
    <w:p w14:paraId="75852621"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активів, які включаються до вирахувань з капіталу банку відповідно до вимог Положення про порядок визначення банками України розміру регулятивного капіталу, затвердженого постановою Правління Національного банку України від 28.12.2023 № 196 (зі змінами) (далі – Положення № 196);</w:t>
      </w:r>
    </w:p>
    <w:p w14:paraId="1014BDA5" w14:textId="77777777" w:rsidR="00F4655B" w:rsidRPr="00F4655B" w:rsidRDefault="00F4655B" w:rsidP="00F4655B">
      <w:pPr>
        <w:pStyle w:val="a3"/>
        <w:numPr>
          <w:ilvl w:val="0"/>
          <w:numId w:val="43"/>
        </w:numPr>
        <w:spacing w:after="0" w:line="240" w:lineRule="auto"/>
        <w:ind w:left="0" w:firstLine="364"/>
        <w:jc w:val="both"/>
        <w:rPr>
          <w:rFonts w:ascii="Times New Roman" w:eastAsia="Times New Roman" w:hAnsi="Times New Roman" w:cs="Times New Roman"/>
          <w:bCs/>
          <w:sz w:val="28"/>
          <w:szCs w:val="28"/>
          <w:lang w:eastAsia="ru-RU"/>
        </w:rPr>
      </w:pPr>
      <w:r w:rsidRPr="00F4655B">
        <w:rPr>
          <w:rFonts w:ascii="Times New Roman" w:eastAsia="Times New Roman" w:hAnsi="Times New Roman" w:cs="Times New Roman"/>
          <w:bCs/>
          <w:sz w:val="28"/>
          <w:szCs w:val="28"/>
          <w:lang w:eastAsia="ru-RU"/>
        </w:rPr>
        <w:t>матеріальних активів (запасів, основних засобів, інших необоротних матеріальних активів)</w:t>
      </w:r>
      <w:r w:rsidRPr="00F4655B">
        <w:rPr>
          <w:rFonts w:ascii="Times New Roman" w:eastAsia="Times New Roman" w:hAnsi="Times New Roman" w:cs="Times New Roman"/>
          <w:b/>
          <w:bCs/>
          <w:sz w:val="28"/>
          <w:szCs w:val="28"/>
          <w:lang w:eastAsia="ru-RU"/>
        </w:rPr>
        <w:t xml:space="preserve">, </w:t>
      </w:r>
      <w:r w:rsidRPr="00F4655B">
        <w:rPr>
          <w:rFonts w:ascii="Times New Roman" w:eastAsia="Times New Roman" w:hAnsi="Times New Roman" w:cs="Times New Roman"/>
          <w:bCs/>
          <w:sz w:val="28"/>
          <w:szCs w:val="28"/>
          <w:lang w:eastAsia="ru-RU"/>
        </w:rPr>
        <w:t>які не включаються до вирахувань з капіталу банку відповідно до вимог Положення № 196;</w:t>
      </w:r>
    </w:p>
    <w:p w14:paraId="06BC2DF3" w14:textId="5EFC3FEA" w:rsidR="00F4655B" w:rsidRPr="00C6645F" w:rsidRDefault="00F4655B" w:rsidP="004E3595">
      <w:pPr>
        <w:pStyle w:val="a3"/>
        <w:numPr>
          <w:ilvl w:val="0"/>
          <w:numId w:val="43"/>
        </w:numPr>
        <w:spacing w:after="0" w:line="240" w:lineRule="auto"/>
        <w:ind w:left="0" w:firstLine="364"/>
        <w:jc w:val="both"/>
        <w:rPr>
          <w:rFonts w:ascii="Times New Roman" w:hAnsi="Times New Roman" w:cs="Times New Roman"/>
          <w:bCs/>
          <w:sz w:val="28"/>
          <w:szCs w:val="28"/>
          <w:lang w:eastAsia="ru-RU"/>
        </w:rPr>
      </w:pPr>
      <w:r w:rsidRPr="00C6645F">
        <w:rPr>
          <w:rFonts w:ascii="Times New Roman" w:eastAsia="Times New Roman" w:hAnsi="Times New Roman" w:cs="Times New Roman"/>
          <w:bCs/>
          <w:sz w:val="28"/>
          <w:szCs w:val="28"/>
          <w:lang w:eastAsia="ru-RU"/>
        </w:rPr>
        <w:t>акцій в банківській книзі</w:t>
      </w:r>
      <w:r w:rsidRPr="00C6645F">
        <w:rPr>
          <w:rFonts w:ascii="Times New Roman" w:eastAsia="Times New Roman" w:hAnsi="Times New Roman" w:cs="Times New Roman"/>
          <w:b/>
          <w:bCs/>
          <w:sz w:val="28"/>
          <w:szCs w:val="28"/>
          <w:lang w:eastAsia="ru-RU"/>
        </w:rPr>
        <w:t xml:space="preserve">, </w:t>
      </w:r>
      <w:r w:rsidRPr="00C6645F">
        <w:rPr>
          <w:rFonts w:ascii="Times New Roman" w:eastAsia="Times New Roman" w:hAnsi="Times New Roman" w:cs="Times New Roman"/>
          <w:bCs/>
          <w:sz w:val="28"/>
          <w:szCs w:val="28"/>
          <w:lang w:eastAsia="ru-RU"/>
        </w:rPr>
        <w:t>крім привілейованих акцій, які відповідають умовам, визначеним в підпункті 4 та / або підпункті 5 пункту 15 розділу II Положення про порядок визначення банками України мінімального розміру ринкового ризику, затвердженого постановою Правління Національного банку України від 30</w:t>
      </w:r>
      <w:r w:rsidR="00C6645F" w:rsidRPr="00C6645F">
        <w:rPr>
          <w:rFonts w:ascii="Times New Roman" w:eastAsia="Times New Roman" w:hAnsi="Times New Roman" w:cs="Times New Roman"/>
          <w:bCs/>
          <w:sz w:val="28"/>
          <w:szCs w:val="28"/>
          <w:lang w:eastAsia="ru-RU"/>
        </w:rPr>
        <w:t>.12.202</w:t>
      </w:r>
      <w:r w:rsidRPr="00C6645F">
        <w:rPr>
          <w:rFonts w:ascii="Times New Roman" w:eastAsia="Times New Roman" w:hAnsi="Times New Roman" w:cs="Times New Roman"/>
          <w:bCs/>
          <w:sz w:val="28"/>
          <w:szCs w:val="28"/>
          <w:lang w:eastAsia="ru-RU"/>
        </w:rPr>
        <w:t>1 року № 162</w:t>
      </w:r>
      <w:r w:rsidR="00C6645F" w:rsidRPr="00C6645F">
        <w:rPr>
          <w:rFonts w:ascii="Times New Roman" w:eastAsia="Times New Roman" w:hAnsi="Times New Roman" w:cs="Times New Roman"/>
          <w:bCs/>
          <w:sz w:val="28"/>
          <w:szCs w:val="28"/>
          <w:lang w:eastAsia="ru-RU"/>
        </w:rPr>
        <w:t xml:space="preserve"> </w:t>
      </w:r>
      <w:r w:rsidR="00C6645F" w:rsidRPr="00C6645F">
        <w:rPr>
          <w:rFonts w:ascii="Times New Roman" w:hAnsi="Times New Roman" w:cs="Times New Roman"/>
          <w:bCs/>
          <w:sz w:val="28"/>
          <w:szCs w:val="28"/>
        </w:rPr>
        <w:t>(зі змінами);</w:t>
      </w:r>
    </w:p>
    <w:p w14:paraId="7C3B6FEE" w14:textId="77777777" w:rsidR="00F4655B" w:rsidRPr="00F4655B" w:rsidRDefault="00F4655B" w:rsidP="00F4655B">
      <w:pPr>
        <w:pStyle w:val="a3"/>
        <w:numPr>
          <w:ilvl w:val="0"/>
          <w:numId w:val="43"/>
        </w:numPr>
        <w:spacing w:after="0" w:line="240" w:lineRule="auto"/>
        <w:ind w:left="0" w:firstLine="364"/>
        <w:jc w:val="both"/>
        <w:rPr>
          <w:rFonts w:ascii="Times New Roman" w:hAnsi="Times New Roman" w:cs="Times New Roman"/>
          <w:sz w:val="28"/>
          <w:szCs w:val="28"/>
          <w:lang w:eastAsia="uk-UA"/>
        </w:rPr>
      </w:pPr>
      <w:r w:rsidRPr="00F4655B">
        <w:rPr>
          <w:rFonts w:ascii="Times New Roman" w:hAnsi="Times New Roman" w:cs="Times New Roman"/>
          <w:bCs/>
          <w:sz w:val="28"/>
          <w:szCs w:val="28"/>
          <w:lang w:eastAsia="ru-RU"/>
        </w:rPr>
        <w:t>інструментів торгової книги, які включені до розрахунку ринкового ризику у складі процентного ризику торгової книги або фондового ризику.</w:t>
      </w:r>
    </w:p>
    <w:p w14:paraId="4DD43FB9" w14:textId="77777777" w:rsidR="00894198" w:rsidRDefault="0089419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31863CCA" w:rsidR="005B6894" w:rsidRPr="00184716"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Особливості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оказників</w:t>
      </w:r>
    </w:p>
    <w:p w14:paraId="3AF22DD0" w14:textId="77777777" w:rsidR="005B6894" w:rsidRPr="00184716"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BD4A62" w:rsidR="005B6894" w:rsidRPr="00184716"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Опис параметрів</w:t>
      </w:r>
      <w:r w:rsidR="008D15B8" w:rsidRPr="008D15B8">
        <w:rPr>
          <w:rFonts w:ascii="Times New Roman" w:eastAsia="Times New Roman" w:hAnsi="Times New Roman" w:cs="Times New Roman"/>
          <w:b/>
          <w:sz w:val="28"/>
          <w:szCs w:val="28"/>
          <w:u w:val="single"/>
          <w:lang w:eastAsia="uk-UA"/>
        </w:rPr>
        <w:t xml:space="preserve"> та </w:t>
      </w:r>
      <w:r w:rsidR="008D15B8" w:rsidRPr="00330680">
        <w:rPr>
          <w:rFonts w:ascii="Times New Roman" w:eastAsia="Times New Roman" w:hAnsi="Times New Roman" w:cs="Times New Roman"/>
          <w:b/>
          <w:sz w:val="28"/>
          <w:szCs w:val="28"/>
          <w:u w:val="single"/>
          <w:lang w:eastAsia="uk-UA"/>
        </w:rPr>
        <w:t>НРП</w:t>
      </w:r>
    </w:p>
    <w:p w14:paraId="27E8F618" w14:textId="77777777" w:rsidR="005B6894" w:rsidRPr="00184716"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B73B8DA" w14:textId="4471D59F" w:rsidR="00851335" w:rsidRDefault="00851335" w:rsidP="00E94B9E">
      <w:pPr>
        <w:spacing w:after="0" w:line="240" w:lineRule="auto"/>
        <w:ind w:firstLine="567"/>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R</w:t>
      </w:r>
      <w:r w:rsidRPr="00851335">
        <w:rPr>
          <w:rFonts w:ascii="Times New Roman" w:eastAsia="Times New Roman" w:hAnsi="Times New Roman" w:cs="Times New Roman"/>
          <w:b/>
          <w:sz w:val="28"/>
          <w:szCs w:val="28"/>
          <w:lang w:val="ru-RU" w:eastAsia="uk-UA"/>
        </w:rPr>
        <w:t xml:space="preserve">030 - </w:t>
      </w:r>
      <w:r w:rsidRPr="00851335">
        <w:rPr>
          <w:rFonts w:ascii="Times New Roman" w:eastAsia="Times New Roman" w:hAnsi="Times New Roman" w:cs="Times New Roman"/>
          <w:bCs/>
          <w:sz w:val="28"/>
          <w:szCs w:val="28"/>
          <w:lang w:eastAsia="uk-UA"/>
        </w:rPr>
        <w:t>к</w:t>
      </w:r>
      <w:r w:rsidRPr="00851335">
        <w:rPr>
          <w:rFonts w:ascii="Times New Roman" w:eastAsia="Times New Roman" w:hAnsi="Times New Roman" w:cs="Times New Roman"/>
          <w:bCs/>
          <w:sz w:val="28"/>
          <w:szCs w:val="28"/>
          <w:lang w:val="ru-RU" w:eastAsia="uk-UA"/>
        </w:rPr>
        <w:t>од валюти або банківського металу</w:t>
      </w:r>
      <w:r w:rsidR="0065286B">
        <w:rPr>
          <w:rFonts w:ascii="Times New Roman" w:eastAsia="Times New Roman" w:hAnsi="Times New Roman" w:cs="Times New Roman"/>
          <w:bCs/>
          <w:sz w:val="28"/>
          <w:szCs w:val="28"/>
          <w:lang w:val="ru-RU" w:eastAsia="uk-UA"/>
        </w:rPr>
        <w:t xml:space="preserve"> (довідник </w:t>
      </w:r>
      <w:r w:rsidR="0065286B" w:rsidRPr="0065286B">
        <w:rPr>
          <w:rFonts w:ascii="Times New Roman" w:eastAsia="Times New Roman" w:hAnsi="Times New Roman" w:cs="Times New Roman"/>
          <w:bCs/>
          <w:sz w:val="28"/>
          <w:szCs w:val="28"/>
          <w:lang w:val="en-US" w:eastAsia="uk-UA"/>
        </w:rPr>
        <w:t>R</w:t>
      </w:r>
      <w:r w:rsidR="0065286B" w:rsidRPr="0065286B">
        <w:rPr>
          <w:rFonts w:ascii="Times New Roman" w:eastAsia="Times New Roman" w:hAnsi="Times New Roman" w:cs="Times New Roman"/>
          <w:bCs/>
          <w:sz w:val="28"/>
          <w:szCs w:val="28"/>
          <w:lang w:val="ru-RU" w:eastAsia="uk-UA"/>
        </w:rPr>
        <w:t>030)</w:t>
      </w:r>
      <w:r>
        <w:rPr>
          <w:rFonts w:ascii="Times New Roman" w:eastAsia="Times New Roman" w:hAnsi="Times New Roman" w:cs="Times New Roman"/>
          <w:bCs/>
          <w:sz w:val="28"/>
          <w:szCs w:val="28"/>
          <w:lang w:val="ru-RU" w:eastAsia="uk-UA"/>
        </w:rPr>
        <w:t>.</w:t>
      </w:r>
    </w:p>
    <w:p w14:paraId="2C664A2C"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5E1D0648" w14:textId="63683532" w:rsidR="00487739" w:rsidRDefault="00487739"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sidRPr="00487739">
        <w:rPr>
          <w:rFonts w:ascii="Times New Roman" w:eastAsia="Times New Roman" w:hAnsi="Times New Roman" w:cs="Times New Roman"/>
          <w:b/>
          <w:sz w:val="28"/>
          <w:szCs w:val="28"/>
          <w:lang w:val="en-US" w:eastAsia="uk-UA"/>
        </w:rPr>
        <w:t>S</w:t>
      </w:r>
      <w:r w:rsidRPr="00487739">
        <w:rPr>
          <w:rFonts w:ascii="Times New Roman" w:eastAsia="Times New Roman" w:hAnsi="Times New Roman" w:cs="Times New Roman"/>
          <w:b/>
          <w:sz w:val="28"/>
          <w:szCs w:val="28"/>
          <w:lang w:val="ru-RU" w:eastAsia="uk-UA"/>
        </w:rPr>
        <w:t>240 -</w:t>
      </w:r>
      <w:r w:rsidRPr="00487739">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val="ru-RU" w:eastAsia="uk-UA"/>
        </w:rPr>
        <w:t>к</w:t>
      </w:r>
      <w:r w:rsidRPr="00487739">
        <w:rPr>
          <w:rFonts w:ascii="Times New Roman" w:eastAsia="Times New Roman" w:hAnsi="Times New Roman" w:cs="Times New Roman"/>
          <w:bCs/>
          <w:sz w:val="28"/>
          <w:szCs w:val="28"/>
          <w:lang w:val="ru-RU" w:eastAsia="uk-UA"/>
        </w:rPr>
        <w:t>оди строків до погашення</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S</w:t>
      </w:r>
      <w:r w:rsidR="00727777" w:rsidRPr="00727777">
        <w:rPr>
          <w:rFonts w:ascii="Times New Roman" w:eastAsia="Times New Roman" w:hAnsi="Times New Roman" w:cs="Times New Roman"/>
          <w:bCs/>
          <w:sz w:val="28"/>
          <w:szCs w:val="28"/>
          <w:lang w:val="ru-RU" w:eastAsia="uk-UA"/>
        </w:rPr>
        <w:t>240)</w:t>
      </w:r>
      <w:r>
        <w:rPr>
          <w:rFonts w:ascii="Times New Roman" w:eastAsia="Times New Roman" w:hAnsi="Times New Roman" w:cs="Times New Roman"/>
          <w:bCs/>
          <w:sz w:val="28"/>
          <w:szCs w:val="28"/>
          <w:lang w:val="ru-RU" w:eastAsia="uk-UA"/>
        </w:rPr>
        <w:t>.</w:t>
      </w:r>
      <w:r w:rsidR="00305798">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За інструментами з фіксованою процентною ставкою зазначається строк до погашення інструмента згідно з договірними умовами. За інструментами з плаваючою процентною ставкою зазначається строк, що згідно з договірними умовами</w:t>
      </w:r>
      <w:r w:rsidR="003643C2">
        <w:rPr>
          <w:rFonts w:ascii="Times New Roman" w:eastAsia="Times New Roman" w:hAnsi="Times New Roman" w:cs="Times New Roman"/>
          <w:bCs/>
          <w:sz w:val="28"/>
          <w:szCs w:val="28"/>
          <w:lang w:val="ru-RU" w:eastAsia="uk-UA"/>
        </w:rPr>
        <w:t xml:space="preserve"> настає раніше з двох: строк до</w:t>
      </w:r>
      <w:r w:rsidR="003A21A4" w:rsidRPr="003A21A4">
        <w:rPr>
          <w:rFonts w:ascii="Times New Roman" w:eastAsia="Times New Roman" w:hAnsi="Times New Roman" w:cs="Times New Roman"/>
          <w:bCs/>
          <w:sz w:val="28"/>
          <w:szCs w:val="28"/>
          <w:lang w:val="ru-RU" w:eastAsia="uk-UA"/>
        </w:rPr>
        <w:t xml:space="preserve"> </w:t>
      </w:r>
      <w:r w:rsidR="00305798" w:rsidRPr="00305798">
        <w:rPr>
          <w:rFonts w:ascii="Times New Roman" w:eastAsia="Times New Roman" w:hAnsi="Times New Roman" w:cs="Times New Roman"/>
          <w:bCs/>
          <w:sz w:val="28"/>
          <w:szCs w:val="28"/>
          <w:lang w:val="ru-RU" w:eastAsia="uk-UA"/>
        </w:rPr>
        <w:t>перегляду/зміни величини індексу процентної ставки або строк до погашення інструмента.</w:t>
      </w:r>
    </w:p>
    <w:p w14:paraId="68DB0F82" w14:textId="77777777" w:rsidR="00BD668E" w:rsidRDefault="00BD668E" w:rsidP="00727777">
      <w:pPr>
        <w:spacing w:after="0" w:line="240" w:lineRule="auto"/>
        <w:ind w:firstLine="567"/>
        <w:jc w:val="both"/>
        <w:rPr>
          <w:rFonts w:ascii="Times New Roman" w:eastAsia="Times New Roman" w:hAnsi="Times New Roman" w:cs="Times New Roman"/>
          <w:b/>
          <w:sz w:val="28"/>
          <w:szCs w:val="28"/>
          <w:lang w:val="ru-RU" w:eastAsia="uk-UA"/>
        </w:rPr>
      </w:pPr>
    </w:p>
    <w:p w14:paraId="49A7E497" w14:textId="6B3845CF" w:rsidR="00487739" w:rsidRDefault="00A87157" w:rsidP="00727777">
      <w:pPr>
        <w:spacing w:after="0" w:line="240" w:lineRule="auto"/>
        <w:ind w:firstLine="567"/>
        <w:jc w:val="both"/>
        <w:rPr>
          <w:rFonts w:ascii="Times New Roman" w:eastAsia="Times New Roman" w:hAnsi="Times New Roman" w:cs="Times New Roman"/>
          <w:bCs/>
          <w:sz w:val="28"/>
          <w:szCs w:val="28"/>
          <w:lang w:val="ru-RU" w:eastAsia="uk-UA"/>
        </w:rPr>
      </w:pPr>
      <w:r w:rsidRPr="00487739">
        <w:rPr>
          <w:rFonts w:ascii="Times New Roman" w:eastAsia="Times New Roman" w:hAnsi="Times New Roman" w:cs="Times New Roman"/>
          <w:b/>
          <w:sz w:val="28"/>
          <w:szCs w:val="28"/>
          <w:lang w:val="ru-RU" w:eastAsia="uk-UA"/>
        </w:rPr>
        <w:t xml:space="preserve">Параметр </w:t>
      </w:r>
      <w:r>
        <w:rPr>
          <w:rFonts w:ascii="Times New Roman" w:eastAsia="Times New Roman" w:hAnsi="Times New Roman" w:cs="Times New Roman"/>
          <w:b/>
          <w:sz w:val="28"/>
          <w:szCs w:val="28"/>
          <w:lang w:val="en-US" w:eastAsia="uk-UA"/>
        </w:rPr>
        <w:t>F</w:t>
      </w:r>
      <w:r w:rsidRPr="00A87157">
        <w:rPr>
          <w:rFonts w:ascii="Times New Roman" w:eastAsia="Times New Roman" w:hAnsi="Times New Roman" w:cs="Times New Roman"/>
          <w:b/>
          <w:sz w:val="28"/>
          <w:szCs w:val="28"/>
          <w:lang w:val="ru-RU" w:eastAsia="uk-UA"/>
        </w:rPr>
        <w:t xml:space="preserve">048 - </w:t>
      </w:r>
      <w:r w:rsidRPr="00A87157">
        <w:rPr>
          <w:rFonts w:ascii="Times New Roman" w:eastAsia="Times New Roman" w:hAnsi="Times New Roman" w:cs="Times New Roman"/>
          <w:bCs/>
          <w:sz w:val="28"/>
          <w:szCs w:val="28"/>
          <w:lang w:eastAsia="uk-UA"/>
        </w:rPr>
        <w:t>к</w:t>
      </w:r>
      <w:r w:rsidRPr="00A87157">
        <w:rPr>
          <w:rFonts w:ascii="Times New Roman" w:eastAsia="Times New Roman" w:hAnsi="Times New Roman" w:cs="Times New Roman"/>
          <w:bCs/>
          <w:sz w:val="28"/>
          <w:szCs w:val="28"/>
          <w:lang w:val="ru-RU" w:eastAsia="uk-UA"/>
        </w:rPr>
        <w:t>од типу процентної ставки</w:t>
      </w:r>
      <w:r w:rsidR="00727777">
        <w:rPr>
          <w:rFonts w:ascii="Times New Roman" w:eastAsia="Times New Roman" w:hAnsi="Times New Roman" w:cs="Times New Roman"/>
          <w:bCs/>
          <w:sz w:val="28"/>
          <w:szCs w:val="28"/>
          <w:lang w:val="ru-RU" w:eastAsia="uk-UA"/>
        </w:rPr>
        <w:t xml:space="preserve"> (довідник </w:t>
      </w:r>
      <w:r w:rsidR="00727777">
        <w:rPr>
          <w:rFonts w:ascii="Times New Roman" w:eastAsia="Times New Roman" w:hAnsi="Times New Roman" w:cs="Times New Roman"/>
          <w:bCs/>
          <w:sz w:val="28"/>
          <w:szCs w:val="28"/>
          <w:lang w:val="en-US" w:eastAsia="uk-UA"/>
        </w:rPr>
        <w:t>F</w:t>
      </w:r>
      <w:r w:rsidR="00727777">
        <w:rPr>
          <w:rFonts w:ascii="Times New Roman" w:eastAsia="Times New Roman" w:hAnsi="Times New Roman" w:cs="Times New Roman"/>
          <w:bCs/>
          <w:sz w:val="28"/>
          <w:szCs w:val="28"/>
          <w:lang w:eastAsia="uk-UA"/>
        </w:rPr>
        <w:t>048)</w:t>
      </w:r>
      <w:r>
        <w:rPr>
          <w:rFonts w:ascii="Times New Roman" w:eastAsia="Times New Roman" w:hAnsi="Times New Roman" w:cs="Times New Roman"/>
          <w:bCs/>
          <w:sz w:val="28"/>
          <w:szCs w:val="28"/>
          <w:lang w:val="ru-RU" w:eastAsia="uk-UA"/>
        </w:rPr>
        <w:t>.</w:t>
      </w:r>
    </w:p>
    <w:p w14:paraId="25C1DB9C" w14:textId="5D19EE9E" w:rsidR="001C65F2" w:rsidRDefault="001C65F2" w:rsidP="009C02A4">
      <w:pPr>
        <w:spacing w:after="0" w:line="240" w:lineRule="auto"/>
        <w:jc w:val="both"/>
        <w:rPr>
          <w:rFonts w:ascii="Times New Roman" w:eastAsia="Times New Roman" w:hAnsi="Times New Roman" w:cs="Times New Roman"/>
          <w:bCs/>
          <w:sz w:val="28"/>
          <w:szCs w:val="28"/>
          <w:lang w:eastAsia="uk-UA"/>
        </w:rPr>
      </w:pPr>
    </w:p>
    <w:p w14:paraId="6C5664D5" w14:textId="77777777" w:rsidR="00CC4E66" w:rsidRDefault="00CC4E66"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688B0431" w:rsidR="00B44B9E" w:rsidRDefault="00B44B9E"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lastRenderedPageBreak/>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1</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352954C" w14:textId="77777777" w:rsidR="00BD668E" w:rsidRDefault="00BD668E" w:rsidP="00F25B46">
      <w:pPr>
        <w:spacing w:after="0" w:line="240" w:lineRule="auto"/>
        <w:ind w:firstLine="709"/>
        <w:jc w:val="both"/>
        <w:rPr>
          <w:rFonts w:ascii="Times New Roman" w:eastAsia="Times New Roman" w:hAnsi="Times New Roman" w:cs="Times New Roman"/>
          <w:bCs/>
          <w:sz w:val="28"/>
          <w:szCs w:val="28"/>
          <w:lang w:eastAsia="uk-UA"/>
        </w:rPr>
      </w:pPr>
    </w:p>
    <w:p w14:paraId="0F780420"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активів,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активи за такими інструментами із убудованими опціонами</w:t>
      </w:r>
      <w:r w:rsidRPr="001D2276">
        <w:rPr>
          <w:rFonts w:ascii="Times New Roman" w:eastAsia="Times New Roman" w:hAnsi="Times New Roman" w:cs="Times New Roman"/>
          <w:bCs/>
          <w:sz w:val="28"/>
          <w:szCs w:val="28"/>
          <w:lang w:val="ru-RU" w:eastAsia="uk-UA"/>
        </w:rPr>
        <w:t xml:space="preserve"> </w:t>
      </w:r>
      <w:r w:rsidRPr="001D2276">
        <w:rPr>
          <w:rFonts w:ascii="Times New Roman" w:eastAsia="Times New Roman" w:hAnsi="Times New Roman" w:cs="Times New Roman"/>
          <w:bCs/>
          <w:sz w:val="28"/>
          <w:szCs w:val="28"/>
          <w:lang w:eastAsia="uk-UA"/>
        </w:rPr>
        <w:t>як кредити із фіксованою процентною ставкою та можливістю дострокового погашення.</w:t>
      </w:r>
    </w:p>
    <w:p w14:paraId="0A4302C4"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балансових активів зазначається за часовими інтервалами, що відповідають строку, визначеному договірними відносинами, крім балансових активів за інструментами із убудованими опціонами, сума за якими зазначається за часовими інтервалами, що відповідають припущенням банку щодо їх поведінки.</w:t>
      </w:r>
    </w:p>
    <w:p w14:paraId="33949376" w14:textId="6935A3D0" w:rsidR="00B44B9E" w:rsidRPr="00B44B9E" w:rsidRDefault="00B44B9E" w:rsidP="0075154A">
      <w:pPr>
        <w:spacing w:after="0" w:line="240" w:lineRule="auto"/>
        <w:ind w:firstLine="567"/>
        <w:rPr>
          <w:rFonts w:ascii="Times New Roman" w:eastAsia="Times New Roman" w:hAnsi="Times New Roman" w:cs="Times New Roman"/>
          <w:bCs/>
          <w:sz w:val="28"/>
          <w:szCs w:val="28"/>
          <w:lang w:eastAsia="uk-UA"/>
        </w:rPr>
      </w:pPr>
    </w:p>
    <w:p w14:paraId="1EFD6FC1" w14:textId="257943A1" w:rsidR="00E70004" w:rsidRDefault="00E70004"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7BBB08F8"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7EE9DBC8" w14:textId="210DF3AB" w:rsidR="00F25B46" w:rsidRPr="00F25B46" w:rsidRDefault="00F25B46" w:rsidP="00BE4F21">
      <w:pPr>
        <w:spacing w:after="0" w:line="240" w:lineRule="auto"/>
        <w:ind w:firstLine="709"/>
        <w:jc w:val="both"/>
        <w:rPr>
          <w:rFonts w:ascii="Times New Roman" w:eastAsia="Times New Roman" w:hAnsi="Times New Roman" w:cs="Times New Roman"/>
          <w:bCs/>
          <w:sz w:val="28"/>
          <w:szCs w:val="28"/>
          <w:lang w:eastAsia="uk-UA"/>
        </w:rPr>
      </w:pPr>
      <w:r w:rsidRPr="00F25B46">
        <w:rPr>
          <w:rFonts w:ascii="Times New Roman" w:eastAsia="Times New Roman" w:hAnsi="Times New Roman" w:cs="Times New Roman"/>
          <w:bCs/>
          <w:sz w:val="28"/>
          <w:szCs w:val="28"/>
          <w:lang w:eastAsia="uk-UA"/>
        </w:rPr>
        <w:t>Зазна</w:t>
      </w:r>
      <w:r>
        <w:rPr>
          <w:rFonts w:ascii="Times New Roman" w:eastAsia="Times New Roman" w:hAnsi="Times New Roman" w:cs="Times New Roman"/>
          <w:bCs/>
          <w:sz w:val="28"/>
          <w:szCs w:val="28"/>
          <w:lang w:eastAsia="uk-UA"/>
        </w:rPr>
        <w:t>чається 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w:t>
      </w:r>
      <w:r w:rsidR="009C02A4"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val="ru-RU" w:eastAsia="uk-UA"/>
        </w:rPr>
        <w:t>,</w:t>
      </w:r>
      <w:r w:rsidR="005A2E2C">
        <w:rPr>
          <w:rFonts w:ascii="Times New Roman" w:eastAsia="Times New Roman" w:hAnsi="Times New Roman" w:cs="Times New Roman"/>
          <w:bCs/>
          <w:sz w:val="28"/>
          <w:szCs w:val="28"/>
          <w:lang w:val="ru-RU" w:eastAsia="uk-UA"/>
        </w:rPr>
        <w:t xml:space="preserve"> </w:t>
      </w:r>
      <w:r>
        <w:rPr>
          <w:rFonts w:ascii="Times New Roman" w:eastAsia="Times New Roman" w:hAnsi="Times New Roman" w:cs="Times New Roman"/>
          <w:bCs/>
          <w:sz w:val="28"/>
          <w:szCs w:val="28"/>
          <w:lang w:eastAsia="uk-UA"/>
        </w:rPr>
        <w:t xml:space="preserve">щодо яких </w:t>
      </w:r>
      <w:r w:rsidR="00BE4F21">
        <w:rPr>
          <w:rFonts w:ascii="Times New Roman" w:eastAsia="Times New Roman" w:hAnsi="Times New Roman" w:cs="Times New Roman"/>
          <w:bCs/>
          <w:sz w:val="28"/>
          <w:szCs w:val="28"/>
          <w:lang w:eastAsia="uk-UA"/>
        </w:rPr>
        <w:t xml:space="preserve">договірними відносинами </w:t>
      </w:r>
      <w:r>
        <w:rPr>
          <w:rFonts w:ascii="Times New Roman" w:eastAsia="Times New Roman" w:hAnsi="Times New Roman" w:cs="Times New Roman"/>
          <w:bCs/>
          <w:sz w:val="28"/>
          <w:szCs w:val="28"/>
          <w:lang w:eastAsia="uk-UA"/>
        </w:rPr>
        <w:t>не визначені строки до погашення за часовими інтервалами</w:t>
      </w:r>
      <w:r w:rsidR="00BD668E">
        <w:rPr>
          <w:rFonts w:ascii="Times New Roman" w:eastAsia="Times New Roman" w:hAnsi="Times New Roman" w:cs="Times New Roman"/>
          <w:bCs/>
          <w:sz w:val="28"/>
          <w:szCs w:val="28"/>
          <w:lang w:eastAsia="uk-UA"/>
        </w:rPr>
        <w:t xml:space="preserve"> відповідно до припущень банку.</w:t>
      </w:r>
    </w:p>
    <w:p w14:paraId="7A6D653F" w14:textId="51D21E44" w:rsidR="009C02A4" w:rsidRDefault="009C02A4" w:rsidP="00F25B46">
      <w:pPr>
        <w:spacing w:after="0" w:line="240" w:lineRule="auto"/>
        <w:ind w:firstLine="709"/>
        <w:jc w:val="both"/>
        <w:rPr>
          <w:rFonts w:ascii="Times New Roman" w:eastAsia="Times New Roman" w:hAnsi="Times New Roman" w:cs="Times New Roman"/>
          <w:bCs/>
          <w:sz w:val="28"/>
          <w:szCs w:val="28"/>
          <w:lang w:eastAsia="uk-UA"/>
        </w:rPr>
      </w:pPr>
    </w:p>
    <w:p w14:paraId="51B0319A" w14:textId="618DB500" w:rsidR="009C02A4" w:rsidRDefault="009C02A4" w:rsidP="009C02A4">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3</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активів</w:t>
      </w:r>
      <w:r w:rsidR="003643C2">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val="ru-RU" w:eastAsia="uk-UA"/>
        </w:rPr>
        <w:t xml:space="preserve"> </w:t>
      </w:r>
      <w:r w:rsidRPr="009C02A4">
        <w:rPr>
          <w:rFonts w:ascii="Times New Roman" w:eastAsia="Times New Roman" w:hAnsi="Times New Roman" w:cs="Times New Roman"/>
          <w:b/>
          <w:sz w:val="28"/>
          <w:szCs w:val="28"/>
          <w:u w:val="single"/>
          <w:lang w:val="ru-RU" w:eastAsia="uk-UA"/>
        </w:rPr>
        <w:t>нечутливих до процентного ризику</w:t>
      </w:r>
      <w:r w:rsidRPr="00184716">
        <w:rPr>
          <w:rFonts w:ascii="Times New Roman" w:eastAsia="Times New Roman" w:hAnsi="Times New Roman" w:cs="Times New Roman"/>
          <w:b/>
          <w:sz w:val="28"/>
          <w:szCs w:val="28"/>
          <w:u w:val="single"/>
          <w:lang w:eastAsia="uk-UA"/>
        </w:rPr>
        <w:t>”</w:t>
      </w:r>
    </w:p>
    <w:p w14:paraId="26FD53F9" w14:textId="77777777" w:rsidR="009C02A4" w:rsidRDefault="009C02A4" w:rsidP="009C02A4">
      <w:pPr>
        <w:spacing w:after="0" w:line="240" w:lineRule="auto"/>
        <w:ind w:firstLine="709"/>
        <w:jc w:val="both"/>
        <w:rPr>
          <w:rFonts w:ascii="Times New Roman" w:eastAsia="Times New Roman" w:hAnsi="Times New Roman" w:cs="Times New Roman"/>
          <w:bCs/>
          <w:sz w:val="28"/>
          <w:szCs w:val="28"/>
          <w:lang w:eastAsia="uk-UA"/>
        </w:rPr>
      </w:pPr>
    </w:p>
    <w:p w14:paraId="527D447D" w14:textId="3BFB2F31" w:rsidR="009C02A4" w:rsidRPr="00332E03" w:rsidRDefault="009C02A4" w:rsidP="009C02A4">
      <w:pPr>
        <w:spacing w:after="0" w:line="240" w:lineRule="auto"/>
        <w:ind w:firstLine="709"/>
        <w:jc w:val="both"/>
        <w:rPr>
          <w:rFonts w:ascii="Times New Roman" w:eastAsia="Times New Roman" w:hAnsi="Times New Roman" w:cs="Times New Roman"/>
          <w:bCs/>
          <w:sz w:val="28"/>
          <w:szCs w:val="28"/>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активів</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2CB3F24F" w14:textId="77777777" w:rsidR="005A2E2C" w:rsidRDefault="005A2E2C" w:rsidP="009C02A4">
      <w:pPr>
        <w:spacing w:after="0" w:line="240" w:lineRule="auto"/>
        <w:ind w:firstLine="709"/>
        <w:jc w:val="both"/>
        <w:rPr>
          <w:rFonts w:ascii="Times New Roman" w:eastAsia="Times New Roman" w:hAnsi="Times New Roman" w:cs="Times New Roman"/>
          <w:b/>
          <w:sz w:val="28"/>
          <w:szCs w:val="28"/>
          <w:u w:val="single"/>
          <w:lang w:eastAsia="uk-UA"/>
        </w:rPr>
      </w:pPr>
    </w:p>
    <w:p w14:paraId="35951B9B" w14:textId="26F39A37" w:rsidR="00546481" w:rsidRDefault="00546481"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0065286B"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65286B"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4</w:t>
      </w:r>
      <w:r w:rsidR="0065286B"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з визначеним строком до погашення</w:t>
      </w:r>
      <w:r w:rsidRPr="00184716">
        <w:rPr>
          <w:rFonts w:ascii="Times New Roman" w:eastAsia="Times New Roman" w:hAnsi="Times New Roman" w:cs="Times New Roman"/>
          <w:b/>
          <w:sz w:val="28"/>
          <w:szCs w:val="28"/>
          <w:u w:val="single"/>
          <w:lang w:eastAsia="uk-UA"/>
        </w:rPr>
        <w:t>”</w:t>
      </w:r>
    </w:p>
    <w:p w14:paraId="3F7508CF"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25BFD139" w14:textId="77777777" w:rsidR="001D2276" w:rsidRPr="001D2276" w:rsidRDefault="001D2276" w:rsidP="001D2276">
      <w:pPr>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з визначеними строками до погашення</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уключаючи балансові зобов’язання за такими інструментами із убудованими опціонами як строкові депозити із можливістю дострокового відкликання.</w:t>
      </w:r>
    </w:p>
    <w:p w14:paraId="7B21770F" w14:textId="4ACA3154" w:rsidR="00BE4F21" w:rsidRPr="001D2276" w:rsidRDefault="001D2276" w:rsidP="001D2276">
      <w:pPr>
        <w:spacing w:after="0" w:line="240" w:lineRule="auto"/>
        <w:ind w:firstLine="709"/>
        <w:jc w:val="both"/>
        <w:rPr>
          <w:rFonts w:ascii="Times New Roman" w:eastAsia="Times New Roman" w:hAnsi="Times New Roman" w:cs="Times New Roman"/>
          <w:b/>
          <w:sz w:val="28"/>
          <w:szCs w:val="28"/>
          <w:u w:val="single"/>
          <w:lang w:eastAsia="uk-UA"/>
        </w:rPr>
      </w:pPr>
      <w:r w:rsidRPr="001D2276">
        <w:rPr>
          <w:rFonts w:ascii="Times New Roman" w:eastAsia="Times New Roman" w:hAnsi="Times New Roman" w:cs="Times New Roman"/>
          <w:bCs/>
          <w:sz w:val="28"/>
          <w:szCs w:val="28"/>
          <w:lang w:eastAsia="uk-UA"/>
        </w:rPr>
        <w:t>Сума балансових зобов’язань зазначається за часовими інтервалами, що відповідають строку, визначеному договірними відносинами, крім балансових зобов’язань за інструментами із убудованими опціонами, сума за якими зазначається за часовими інтервалами, що відповідають припущенням банку щодо їх поведінки</w:t>
      </w:r>
      <w:r w:rsidR="00BE4F21" w:rsidRPr="001D2276">
        <w:rPr>
          <w:rFonts w:ascii="Times New Roman" w:eastAsia="Times New Roman" w:hAnsi="Times New Roman" w:cs="Times New Roman"/>
          <w:bCs/>
          <w:sz w:val="28"/>
          <w:szCs w:val="28"/>
          <w:lang w:eastAsia="uk-UA"/>
        </w:rPr>
        <w:t>.</w:t>
      </w:r>
    </w:p>
    <w:p w14:paraId="7DCE1BA0" w14:textId="6706D251" w:rsidR="00727777" w:rsidRDefault="00727777"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42926D53" w14:textId="64896DBD" w:rsidR="00B44B9E" w:rsidRPr="00184716" w:rsidRDefault="00B44B9E" w:rsidP="002E012B">
      <w:pPr>
        <w:spacing w:after="0" w:line="240" w:lineRule="auto"/>
        <w:ind w:firstLine="567"/>
        <w:contextualSpacing/>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5</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чутливих до процентного ризику</w:t>
      </w:r>
      <w:r w:rsidR="003643C2">
        <w:rPr>
          <w:rFonts w:ascii="Times New Roman" w:eastAsia="Times New Roman" w:hAnsi="Times New Roman" w:cs="Times New Roman"/>
          <w:b/>
          <w:sz w:val="28"/>
          <w:szCs w:val="28"/>
          <w:u w:val="single"/>
          <w:lang w:eastAsia="uk-UA"/>
        </w:rPr>
        <w:t>,</w:t>
      </w:r>
      <w:r w:rsidR="00581792" w:rsidRPr="00581792">
        <w:rPr>
          <w:rFonts w:ascii="Times New Roman" w:eastAsia="Times New Roman" w:hAnsi="Times New Roman" w:cs="Times New Roman"/>
          <w:b/>
          <w:sz w:val="28"/>
          <w:szCs w:val="28"/>
          <w:u w:val="single"/>
          <w:lang w:eastAsia="uk-UA"/>
        </w:rPr>
        <w:t xml:space="preserve"> без визначеного строку до погашення</w:t>
      </w:r>
      <w:r w:rsidRPr="00184716">
        <w:rPr>
          <w:rFonts w:ascii="Times New Roman" w:eastAsia="Times New Roman" w:hAnsi="Times New Roman" w:cs="Times New Roman"/>
          <w:b/>
          <w:sz w:val="28"/>
          <w:szCs w:val="28"/>
          <w:u w:val="single"/>
          <w:lang w:eastAsia="uk-UA"/>
        </w:rPr>
        <w:t>”</w:t>
      </w:r>
    </w:p>
    <w:p w14:paraId="6EF7015B" w14:textId="77777777" w:rsidR="00BD668E" w:rsidRDefault="00BD668E" w:rsidP="00BE4F21">
      <w:pPr>
        <w:spacing w:after="0" w:line="240" w:lineRule="auto"/>
        <w:ind w:firstLine="709"/>
        <w:jc w:val="both"/>
        <w:rPr>
          <w:rFonts w:ascii="Times New Roman" w:eastAsia="Times New Roman" w:hAnsi="Times New Roman" w:cs="Times New Roman"/>
          <w:bCs/>
          <w:sz w:val="28"/>
          <w:szCs w:val="28"/>
          <w:lang w:eastAsia="uk-UA"/>
        </w:rPr>
      </w:pPr>
    </w:p>
    <w:p w14:paraId="3BE7209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балансових зобов’язань, чутливих до IRRBB, щодо яких договірними відносинами не визначені строки до погашення (залишки на поточних та карткових рахунках клієнтів) за часовими інтервалами відповідно до припущень банку.</w:t>
      </w:r>
    </w:p>
    <w:p w14:paraId="2CDB2A3C" w14:textId="3BC6F2A0" w:rsidR="001D2276" w:rsidRDefault="001D2276" w:rsidP="002D2451">
      <w:pPr>
        <w:pStyle w:val="a3"/>
        <w:spacing w:after="0"/>
        <w:ind w:left="0" w:firstLine="709"/>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lastRenderedPageBreak/>
        <w:t>Банк визначає припущення щодо оцінки рахунків клієнтів, що не мають визначеної дати зміни процентної ставки з урахуванням вимог пункту 245 глави 36 розділу IV Положення № 64.</w:t>
      </w:r>
    </w:p>
    <w:p w14:paraId="5A56C395" w14:textId="77777777" w:rsidR="001D2276" w:rsidRPr="001D2276" w:rsidRDefault="001D2276" w:rsidP="001D2276">
      <w:pPr>
        <w:pStyle w:val="a3"/>
        <w:spacing w:after="0"/>
        <w:ind w:left="364"/>
        <w:jc w:val="both"/>
        <w:rPr>
          <w:bCs/>
          <w:sz w:val="28"/>
          <w:szCs w:val="28"/>
        </w:rPr>
      </w:pPr>
    </w:p>
    <w:p w14:paraId="32361538" w14:textId="512CEC71" w:rsidR="00A012CC" w:rsidRDefault="00A012CC" w:rsidP="00A012CC">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6</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727777">
        <w:rPr>
          <w:rFonts w:ascii="Times New Roman" w:eastAsia="Times New Roman" w:hAnsi="Times New Roman" w:cs="Times New Roman"/>
          <w:b/>
          <w:sz w:val="28"/>
          <w:szCs w:val="28"/>
          <w:u w:val="single"/>
          <w:lang w:eastAsia="uk-UA"/>
        </w:rPr>
        <w:t>Сума балансових зобов'язань</w:t>
      </w:r>
      <w:r w:rsidR="003643C2">
        <w:rPr>
          <w:rFonts w:ascii="Times New Roman" w:eastAsia="Times New Roman" w:hAnsi="Times New Roman" w:cs="Times New Roman"/>
          <w:b/>
          <w:sz w:val="28"/>
          <w:szCs w:val="28"/>
          <w:u w:val="single"/>
          <w:lang w:eastAsia="uk-UA"/>
        </w:rPr>
        <w:t>,</w:t>
      </w:r>
      <w:r w:rsidRPr="009C02A4">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не</w:t>
      </w:r>
      <w:r w:rsidRPr="009C02A4">
        <w:rPr>
          <w:rFonts w:ascii="Times New Roman" w:eastAsia="Times New Roman" w:hAnsi="Times New Roman" w:cs="Times New Roman"/>
          <w:b/>
          <w:sz w:val="28"/>
          <w:szCs w:val="28"/>
          <w:u w:val="single"/>
          <w:lang w:eastAsia="uk-UA"/>
        </w:rPr>
        <w:t>чутливих до процентного ризику</w:t>
      </w:r>
      <w:r w:rsidRPr="00184716">
        <w:rPr>
          <w:rFonts w:ascii="Times New Roman" w:eastAsia="Times New Roman" w:hAnsi="Times New Roman" w:cs="Times New Roman"/>
          <w:b/>
          <w:sz w:val="28"/>
          <w:szCs w:val="28"/>
          <w:u w:val="single"/>
          <w:lang w:eastAsia="uk-UA"/>
        </w:rPr>
        <w:t>”</w:t>
      </w:r>
    </w:p>
    <w:p w14:paraId="5FD8D810" w14:textId="77777777" w:rsidR="00A012CC" w:rsidRDefault="00A012CC" w:rsidP="00A012CC">
      <w:pPr>
        <w:spacing w:after="0" w:line="240" w:lineRule="auto"/>
        <w:ind w:firstLine="709"/>
        <w:jc w:val="both"/>
        <w:rPr>
          <w:rFonts w:ascii="Times New Roman" w:eastAsia="Times New Roman" w:hAnsi="Times New Roman" w:cs="Times New Roman"/>
          <w:bCs/>
          <w:sz w:val="28"/>
          <w:szCs w:val="28"/>
          <w:lang w:eastAsia="uk-UA"/>
        </w:rPr>
      </w:pPr>
    </w:p>
    <w:p w14:paraId="5244BDE6" w14:textId="4974FA00" w:rsidR="00A012CC" w:rsidRPr="00332E03" w:rsidRDefault="00A012CC" w:rsidP="00332E03">
      <w:pPr>
        <w:spacing w:after="0" w:line="240" w:lineRule="auto"/>
        <w:ind w:firstLine="709"/>
        <w:jc w:val="both"/>
        <w:rPr>
          <w:rFonts w:ascii="Times New Roman" w:eastAsia="Times New Roman" w:hAnsi="Times New Roman" w:cs="Times New Roman"/>
          <w:b/>
          <w:sz w:val="28"/>
          <w:szCs w:val="28"/>
          <w:u w:val="single"/>
          <w:lang w:eastAsia="uk-UA"/>
        </w:rPr>
      </w:pPr>
      <w:r w:rsidRPr="00B41AB9">
        <w:rPr>
          <w:rFonts w:ascii="Times New Roman" w:eastAsia="Times New Roman" w:hAnsi="Times New Roman" w:cs="Times New Roman"/>
          <w:bCs/>
          <w:sz w:val="28"/>
          <w:szCs w:val="28"/>
          <w:lang w:eastAsia="uk-UA"/>
        </w:rPr>
        <w:t xml:space="preserve">Зазначається </w:t>
      </w:r>
      <w:r>
        <w:rPr>
          <w:rFonts w:ascii="Times New Roman" w:eastAsia="Times New Roman" w:hAnsi="Times New Roman" w:cs="Times New Roman"/>
          <w:bCs/>
          <w:sz w:val="28"/>
          <w:szCs w:val="28"/>
          <w:lang w:eastAsia="uk-UA"/>
        </w:rPr>
        <w:t>сума балансових зобов’язань</w:t>
      </w:r>
      <w:r w:rsidR="003643C2">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не</w:t>
      </w:r>
      <w:r w:rsidRPr="009C02A4">
        <w:rPr>
          <w:rFonts w:ascii="Times New Roman" w:eastAsia="Times New Roman" w:hAnsi="Times New Roman" w:cs="Times New Roman"/>
          <w:bCs/>
          <w:sz w:val="28"/>
          <w:szCs w:val="28"/>
          <w:lang w:eastAsia="uk-UA"/>
        </w:rPr>
        <w:t xml:space="preserve">чутливих до </w:t>
      </w:r>
      <w:r w:rsidR="00332E03">
        <w:rPr>
          <w:rFonts w:ascii="Times New Roman" w:eastAsia="Times New Roman" w:hAnsi="Times New Roman" w:cs="Times New Roman"/>
          <w:bCs/>
          <w:sz w:val="28"/>
          <w:szCs w:val="28"/>
          <w:lang w:val="en-US" w:eastAsia="uk-UA"/>
        </w:rPr>
        <w:t>IRRBB</w:t>
      </w:r>
      <w:r w:rsidR="00332E03">
        <w:rPr>
          <w:rFonts w:ascii="Times New Roman" w:eastAsia="Times New Roman" w:hAnsi="Times New Roman" w:cs="Times New Roman"/>
          <w:bCs/>
          <w:sz w:val="28"/>
          <w:szCs w:val="28"/>
          <w:lang w:eastAsia="uk-UA"/>
        </w:rPr>
        <w:t>.</w:t>
      </w:r>
    </w:p>
    <w:p w14:paraId="6C76A9D6" w14:textId="1F5E6171" w:rsidR="003643C2" w:rsidRDefault="003643C2" w:rsidP="00727777">
      <w:pPr>
        <w:spacing w:after="0" w:line="240" w:lineRule="auto"/>
        <w:ind w:firstLine="709"/>
        <w:jc w:val="center"/>
        <w:rPr>
          <w:rFonts w:ascii="Times New Roman" w:eastAsia="Times New Roman" w:hAnsi="Times New Roman" w:cs="Times New Roman"/>
          <w:b/>
          <w:sz w:val="28"/>
          <w:szCs w:val="28"/>
          <w:u w:val="single"/>
          <w:lang w:eastAsia="uk-UA"/>
        </w:rPr>
      </w:pPr>
    </w:p>
    <w:p w14:paraId="457279C5" w14:textId="5DF510AF" w:rsidR="00A76299" w:rsidRPr="00184716" w:rsidRDefault="00A76299" w:rsidP="00727777">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Pr="0065286B">
        <w:rPr>
          <w:rFonts w:ascii="Times New Roman" w:eastAsia="Times New Roman" w:hAnsi="Times New Roman" w:cs="Times New Roman"/>
          <w:b/>
          <w:sz w:val="28"/>
          <w:szCs w:val="28"/>
          <w:u w:val="single"/>
          <w:lang w:eastAsia="uk-UA"/>
        </w:rPr>
        <w:t>00</w:t>
      </w:r>
      <w:r w:rsidR="00581792">
        <w:rPr>
          <w:rFonts w:ascii="Times New Roman" w:eastAsia="Times New Roman" w:hAnsi="Times New Roman" w:cs="Times New Roman"/>
          <w:b/>
          <w:sz w:val="28"/>
          <w:szCs w:val="28"/>
          <w:u w:val="single"/>
          <w:lang w:eastAsia="uk-UA"/>
        </w:rPr>
        <w:t>7</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727777" w:rsidRPr="00727777">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вимог за </w:t>
      </w:r>
      <w:r w:rsidR="00727777" w:rsidRPr="00727777">
        <w:rPr>
          <w:rFonts w:ascii="Times New Roman" w:eastAsia="Times New Roman" w:hAnsi="Times New Roman" w:cs="Times New Roman"/>
          <w:b/>
          <w:sz w:val="28"/>
          <w:szCs w:val="28"/>
          <w:u w:val="single"/>
          <w:lang w:eastAsia="uk-UA"/>
        </w:rPr>
        <w:t xml:space="preserve"> позабалансовими позиціями</w:t>
      </w:r>
      <w:r w:rsidRPr="00184716">
        <w:rPr>
          <w:rFonts w:ascii="Times New Roman" w:eastAsia="Times New Roman" w:hAnsi="Times New Roman" w:cs="Times New Roman"/>
          <w:b/>
          <w:sz w:val="28"/>
          <w:szCs w:val="28"/>
          <w:u w:val="single"/>
          <w:lang w:eastAsia="uk-UA"/>
        </w:rPr>
        <w:t>”</w:t>
      </w:r>
    </w:p>
    <w:p w14:paraId="7321DC6B" w14:textId="77777777" w:rsidR="00BD668E" w:rsidRDefault="00BD668E"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B19149C" w14:textId="77777777" w:rsidR="001D2276" w:rsidRPr="001D2276" w:rsidRDefault="001D2276" w:rsidP="002D2451">
      <w:pPr>
        <w:pStyle w:val="a3"/>
        <w:spacing w:after="0"/>
        <w:ind w:left="0" w:firstLine="709"/>
        <w:jc w:val="both"/>
        <w:rPr>
          <w:rFonts w:ascii="Times New Roman" w:hAnsi="Times New Roman" w:cs="Times New Roman"/>
          <w:bCs/>
          <w:sz w:val="28"/>
          <w:szCs w:val="28"/>
        </w:rPr>
      </w:pPr>
      <w:r w:rsidRPr="001D2276">
        <w:rPr>
          <w:rFonts w:ascii="Times New Roman" w:eastAsia="Times New Roman" w:hAnsi="Times New Roman" w:cs="Times New Roman"/>
          <w:bCs/>
          <w:sz w:val="28"/>
          <w:szCs w:val="28"/>
          <w:lang w:eastAsia="uk-UA"/>
        </w:rPr>
        <w:t>Зазначається сума вимог за позабалансовими позиціями, чутливими до IRRBB</w:t>
      </w:r>
      <w:r w:rsidRPr="001D2276">
        <w:rPr>
          <w:rFonts w:ascii="Times New Roman" w:eastAsia="Times New Roman" w:hAnsi="Times New Roman" w:cs="Times New Roman"/>
          <w:b/>
          <w:bCs/>
          <w:sz w:val="28"/>
          <w:szCs w:val="28"/>
          <w:lang w:eastAsia="uk-UA"/>
        </w:rPr>
        <w:t>,</w:t>
      </w:r>
      <w:r w:rsidRPr="001D2276">
        <w:rPr>
          <w:rFonts w:ascii="Times New Roman" w:eastAsia="Times New Roman" w:hAnsi="Times New Roman" w:cs="Times New Roman"/>
          <w:bCs/>
          <w:sz w:val="28"/>
          <w:szCs w:val="28"/>
          <w:lang w:eastAsia="uk-UA"/>
        </w:rPr>
        <w:t xml:space="preserve"> за часовими інтервалами,</w:t>
      </w:r>
      <w:r w:rsidRPr="001D2276">
        <w:rPr>
          <w:rFonts w:ascii="Times New Roman" w:hAnsi="Times New Roman" w:cs="Times New Roman"/>
          <w:sz w:val="28"/>
          <w:szCs w:val="28"/>
        </w:rPr>
        <w:t xml:space="preserve"> </w:t>
      </w:r>
      <w:r w:rsidRPr="001D2276">
        <w:rPr>
          <w:rFonts w:ascii="Times New Roman" w:eastAsia="Times New Roman" w:hAnsi="Times New Roman" w:cs="Times New Roman"/>
          <w:bCs/>
          <w:sz w:val="28"/>
          <w:szCs w:val="28"/>
          <w:lang w:eastAsia="uk-UA"/>
        </w:rPr>
        <w:t>що</w:t>
      </w:r>
      <w:r w:rsidRPr="001D2276">
        <w:rPr>
          <w:rFonts w:ascii="Times New Roman" w:hAnsi="Times New Roman" w:cs="Times New Roman"/>
          <w:bCs/>
          <w:sz w:val="28"/>
          <w:szCs w:val="28"/>
        </w:rPr>
        <w:t xml:space="preserve"> </w:t>
      </w:r>
      <w:r w:rsidRPr="001D2276">
        <w:rPr>
          <w:rFonts w:ascii="Times New Roman" w:eastAsia="Times New Roman" w:hAnsi="Times New Roman" w:cs="Times New Roman"/>
          <w:bCs/>
          <w:sz w:val="28"/>
          <w:szCs w:val="28"/>
          <w:lang w:eastAsia="uk-UA"/>
        </w:rPr>
        <w:t>відповідають строку, визначеному договірними відносинами</w:t>
      </w:r>
      <w:r w:rsidRPr="001D2276">
        <w:rPr>
          <w:rFonts w:ascii="Times New Roman" w:hAnsi="Times New Roman" w:cs="Times New Roman"/>
          <w:bCs/>
          <w:sz w:val="28"/>
          <w:szCs w:val="28"/>
        </w:rPr>
        <w:t>.</w:t>
      </w:r>
    </w:p>
    <w:p w14:paraId="0C8F9803" w14:textId="77777777" w:rsidR="001D2276" w:rsidRDefault="001D2276" w:rsidP="001D2276">
      <w:pPr>
        <w:spacing w:after="0" w:line="240" w:lineRule="auto"/>
        <w:ind w:firstLine="709"/>
        <w:jc w:val="center"/>
        <w:rPr>
          <w:rFonts w:ascii="Times New Roman" w:eastAsia="Times New Roman" w:hAnsi="Times New Roman" w:cs="Times New Roman"/>
          <w:b/>
          <w:sz w:val="28"/>
          <w:szCs w:val="28"/>
          <w:u w:val="single"/>
          <w:lang w:eastAsia="uk-UA"/>
        </w:rPr>
      </w:pPr>
    </w:p>
    <w:p w14:paraId="2252B0D1" w14:textId="6A9605EE" w:rsidR="00727777" w:rsidRPr="00184716" w:rsidRDefault="00727777" w:rsidP="001D2276">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w:t>
      </w:r>
      <w:r w:rsidR="00A012CC">
        <w:rPr>
          <w:rFonts w:ascii="Times New Roman" w:eastAsia="Times New Roman" w:hAnsi="Times New Roman" w:cs="Times New Roman"/>
          <w:b/>
          <w:sz w:val="28"/>
          <w:szCs w:val="28"/>
          <w:u w:val="single"/>
          <w:lang w:eastAsia="uk-UA"/>
        </w:rPr>
        <w:t>0</w:t>
      </w:r>
      <w:r w:rsidR="00581792">
        <w:rPr>
          <w:rFonts w:ascii="Times New Roman" w:eastAsia="Times New Roman" w:hAnsi="Times New Roman" w:cs="Times New Roman"/>
          <w:b/>
          <w:sz w:val="28"/>
          <w:szCs w:val="28"/>
          <w:u w:val="single"/>
          <w:lang w:eastAsia="uk-UA"/>
        </w:rPr>
        <w:t>8</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00B41AB9" w:rsidRPr="00B41AB9">
        <w:rPr>
          <w:rFonts w:ascii="Times New Roman" w:eastAsia="Times New Roman" w:hAnsi="Times New Roman" w:cs="Times New Roman"/>
          <w:b/>
          <w:sz w:val="28"/>
          <w:szCs w:val="28"/>
          <w:u w:val="single"/>
          <w:lang w:eastAsia="uk-UA"/>
        </w:rPr>
        <w:t xml:space="preserve">Сума </w:t>
      </w:r>
      <w:r w:rsidR="00B41AB9">
        <w:rPr>
          <w:rFonts w:ascii="Times New Roman" w:eastAsia="Times New Roman" w:hAnsi="Times New Roman" w:cs="Times New Roman"/>
          <w:b/>
          <w:sz w:val="28"/>
          <w:szCs w:val="28"/>
          <w:u w:val="single"/>
          <w:lang w:eastAsia="uk-UA"/>
        </w:rPr>
        <w:t xml:space="preserve">зобов’язань </w:t>
      </w:r>
      <w:r w:rsidR="00B41AB9" w:rsidRPr="00B41AB9">
        <w:rPr>
          <w:rFonts w:ascii="Times New Roman" w:eastAsia="Times New Roman" w:hAnsi="Times New Roman" w:cs="Times New Roman"/>
          <w:b/>
          <w:sz w:val="28"/>
          <w:szCs w:val="28"/>
          <w:u w:val="single"/>
          <w:lang w:eastAsia="uk-UA"/>
        </w:rPr>
        <w:t>за позабалансовими позиціями</w:t>
      </w:r>
      <w:r w:rsidRPr="00184716">
        <w:rPr>
          <w:rFonts w:ascii="Times New Roman" w:eastAsia="Times New Roman" w:hAnsi="Times New Roman" w:cs="Times New Roman"/>
          <w:b/>
          <w:sz w:val="28"/>
          <w:szCs w:val="28"/>
          <w:u w:val="single"/>
          <w:lang w:eastAsia="uk-UA"/>
        </w:rPr>
        <w:t>”</w:t>
      </w:r>
    </w:p>
    <w:p w14:paraId="3F2D9AFF" w14:textId="77777777" w:rsidR="00493DCF" w:rsidRDefault="00493DCF" w:rsidP="00BE4F21">
      <w:pPr>
        <w:spacing w:after="0" w:line="240" w:lineRule="auto"/>
        <w:ind w:firstLine="709"/>
        <w:contextualSpacing/>
        <w:jc w:val="both"/>
        <w:rPr>
          <w:rFonts w:ascii="Times New Roman" w:eastAsia="Times New Roman" w:hAnsi="Times New Roman" w:cs="Times New Roman"/>
          <w:bCs/>
          <w:sz w:val="28"/>
          <w:szCs w:val="28"/>
          <w:lang w:eastAsia="uk-UA"/>
        </w:rPr>
      </w:pPr>
    </w:p>
    <w:p w14:paraId="3D0F404E" w14:textId="77777777" w:rsidR="001D2276" w:rsidRPr="001D2276" w:rsidRDefault="001D2276" w:rsidP="001D2276">
      <w:pPr>
        <w:spacing w:after="0"/>
        <w:ind w:firstLine="709"/>
        <w:contextualSpacing/>
        <w:jc w:val="both"/>
        <w:rPr>
          <w:rFonts w:ascii="Times New Roman" w:eastAsia="Times New Roman" w:hAnsi="Times New Roman" w:cs="Times New Roman"/>
          <w:bCs/>
          <w:sz w:val="28"/>
          <w:szCs w:val="28"/>
          <w:lang w:eastAsia="uk-UA"/>
        </w:rPr>
      </w:pPr>
      <w:r w:rsidRPr="001D2276">
        <w:rPr>
          <w:rFonts w:ascii="Times New Roman" w:eastAsia="Times New Roman" w:hAnsi="Times New Roman" w:cs="Times New Roman"/>
          <w:bCs/>
          <w:sz w:val="28"/>
          <w:szCs w:val="28"/>
          <w:lang w:eastAsia="uk-UA"/>
        </w:rPr>
        <w:t>Зазначається сума зобов’язань за позабалансовими позиціями</w:t>
      </w:r>
      <w:r w:rsidRPr="001D2276">
        <w:rPr>
          <w:rFonts w:ascii="Times New Roman" w:eastAsia="Times New Roman" w:hAnsi="Times New Roman" w:cs="Times New Roman"/>
          <w:b/>
          <w:bCs/>
          <w:sz w:val="28"/>
          <w:szCs w:val="28"/>
          <w:lang w:eastAsia="uk-UA"/>
        </w:rPr>
        <w:t xml:space="preserve">, </w:t>
      </w:r>
      <w:r w:rsidRPr="001D2276">
        <w:rPr>
          <w:rFonts w:ascii="Times New Roman" w:eastAsia="Times New Roman" w:hAnsi="Times New Roman" w:cs="Times New Roman"/>
          <w:bCs/>
          <w:sz w:val="28"/>
          <w:szCs w:val="28"/>
          <w:lang w:eastAsia="uk-UA"/>
        </w:rPr>
        <w:t>чутливими до IRRBB, уключаючи зобов’язання за такими позабалансовими позиціями із убудованими опціонами як безвідкличні зобов’язання із кредитування з фіксованою процентною ставкою.</w:t>
      </w:r>
    </w:p>
    <w:p w14:paraId="0D22C169" w14:textId="77777777" w:rsidR="001D2276" w:rsidRPr="001D2276" w:rsidRDefault="001D2276" w:rsidP="001D2276">
      <w:pPr>
        <w:pStyle w:val="a3"/>
        <w:spacing w:after="0"/>
        <w:ind w:left="0" w:firstLine="709"/>
        <w:jc w:val="both"/>
        <w:rPr>
          <w:bCs/>
          <w:sz w:val="28"/>
          <w:szCs w:val="28"/>
        </w:rPr>
      </w:pPr>
      <w:r w:rsidRPr="001D2276">
        <w:rPr>
          <w:rFonts w:ascii="Times New Roman" w:eastAsia="Times New Roman" w:hAnsi="Times New Roman" w:cs="Times New Roman"/>
          <w:bCs/>
          <w:sz w:val="28"/>
          <w:szCs w:val="28"/>
          <w:lang w:eastAsia="uk-UA"/>
        </w:rPr>
        <w:t>Сума зобов’язань за позабалансовими позиціями зазначається за часовими інтервалами, що відповідають строку, визначеному договірними відносинами, крім зобов’язань за позабалансовими позиціями із убудованими опціонами, сума за якими</w:t>
      </w:r>
      <w:r w:rsidRPr="001D2276">
        <w:rPr>
          <w:bCs/>
          <w:sz w:val="28"/>
          <w:szCs w:val="28"/>
        </w:rPr>
        <w:t xml:space="preserve"> </w:t>
      </w:r>
      <w:r w:rsidRPr="001D2276">
        <w:rPr>
          <w:rFonts w:ascii="Times New Roman" w:eastAsia="Times New Roman" w:hAnsi="Times New Roman" w:cs="Times New Roman"/>
          <w:bCs/>
          <w:sz w:val="28"/>
          <w:szCs w:val="28"/>
          <w:lang w:eastAsia="uk-UA"/>
        </w:rPr>
        <w:t>зазначається за часовими інтервалами, що відповідають припущенням банку щодо їх поведінки.</w:t>
      </w:r>
    </w:p>
    <w:p w14:paraId="4F488985" w14:textId="77777777" w:rsidR="001D2276" w:rsidRDefault="001D2276" w:rsidP="00B41AB9">
      <w:pPr>
        <w:spacing w:after="0" w:line="240" w:lineRule="auto"/>
        <w:ind w:firstLine="709"/>
        <w:jc w:val="center"/>
        <w:rPr>
          <w:rFonts w:ascii="Times New Roman" w:eastAsia="Times New Roman" w:hAnsi="Times New Roman" w:cs="Times New Roman"/>
          <w:b/>
          <w:sz w:val="28"/>
          <w:szCs w:val="28"/>
          <w:u w:val="single"/>
          <w:lang w:eastAsia="uk-UA"/>
        </w:rPr>
      </w:pPr>
    </w:p>
    <w:p w14:paraId="562C370D" w14:textId="61D5B711" w:rsidR="00B41AB9"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581792">
        <w:rPr>
          <w:rFonts w:ascii="Times New Roman" w:eastAsia="Times New Roman" w:hAnsi="Times New Roman" w:cs="Times New Roman"/>
          <w:b/>
          <w:sz w:val="28"/>
          <w:szCs w:val="28"/>
          <w:u w:val="single"/>
          <w:lang w:eastAsia="uk-UA"/>
        </w:rPr>
        <w:t>009</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Середня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A012CC">
        <w:rPr>
          <w:rFonts w:ascii="Times New Roman" w:eastAsia="Times New Roman" w:hAnsi="Times New Roman" w:cs="Times New Roman"/>
          <w:b/>
          <w:sz w:val="28"/>
          <w:szCs w:val="28"/>
          <w:u w:val="single"/>
          <w:lang w:eastAsia="uk-UA"/>
        </w:rPr>
        <w:t xml:space="preserve"> </w:t>
      </w:r>
      <w:r w:rsidR="00A012CC" w:rsidRPr="00A012CC">
        <w:rPr>
          <w:rFonts w:ascii="Times New Roman" w:eastAsia="Times New Roman" w:hAnsi="Times New Roman" w:cs="Times New Roman"/>
          <w:b/>
          <w:sz w:val="28"/>
          <w:szCs w:val="28"/>
          <w:u w:val="single"/>
          <w:lang w:eastAsia="uk-UA"/>
        </w:rPr>
        <w:t>чутливими до процентного ризику</w:t>
      </w:r>
      <w:r w:rsidRPr="00184716">
        <w:rPr>
          <w:rFonts w:ascii="Times New Roman" w:eastAsia="Times New Roman" w:hAnsi="Times New Roman" w:cs="Times New Roman"/>
          <w:b/>
          <w:sz w:val="28"/>
          <w:szCs w:val="28"/>
          <w:u w:val="single"/>
          <w:lang w:eastAsia="uk-UA"/>
        </w:rPr>
        <w:t>”</w:t>
      </w:r>
    </w:p>
    <w:p w14:paraId="3E15A246" w14:textId="77777777" w:rsidR="00493DCF" w:rsidRDefault="00493DCF" w:rsidP="000A68CC">
      <w:pPr>
        <w:spacing w:after="0" w:line="240" w:lineRule="auto"/>
        <w:ind w:firstLine="709"/>
        <w:jc w:val="both"/>
        <w:rPr>
          <w:rFonts w:ascii="Times New Roman" w:eastAsia="Times New Roman" w:hAnsi="Times New Roman" w:cs="Times New Roman"/>
          <w:bCs/>
          <w:sz w:val="28"/>
          <w:szCs w:val="28"/>
          <w:lang w:eastAsia="uk-UA"/>
        </w:rPr>
      </w:pPr>
    </w:p>
    <w:p w14:paraId="19BCA72A" w14:textId="0905A9C3" w:rsidR="00BE4F21" w:rsidRPr="004732E6" w:rsidRDefault="000A68CC" w:rsidP="00D073FF">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Зазначається </w:t>
      </w:r>
      <w:r w:rsidRPr="000A68CC">
        <w:rPr>
          <w:rFonts w:ascii="Times New Roman" w:eastAsia="Times New Roman" w:hAnsi="Times New Roman" w:cs="Times New Roman"/>
          <w:bCs/>
          <w:sz w:val="28"/>
          <w:szCs w:val="28"/>
          <w:lang w:eastAsia="uk-UA"/>
        </w:rPr>
        <w:t>середня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A012CC" w:rsidRPr="00A012CC">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A012CC">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p w14:paraId="56D58911" w14:textId="55111942" w:rsidR="000A68CC" w:rsidRDefault="000A68CC" w:rsidP="000A68CC">
      <w:pPr>
        <w:spacing w:after="0" w:line="240" w:lineRule="auto"/>
        <w:ind w:firstLine="709"/>
        <w:jc w:val="both"/>
        <w:rPr>
          <w:rFonts w:ascii="Times New Roman" w:eastAsia="Times New Roman" w:hAnsi="Times New Roman" w:cs="Times New Roman"/>
          <w:bCs/>
          <w:sz w:val="28"/>
          <w:szCs w:val="28"/>
          <w:lang w:eastAsia="uk-UA"/>
        </w:rPr>
      </w:pPr>
    </w:p>
    <w:p w14:paraId="245CBAF0" w14:textId="5BD09B31" w:rsidR="00B41AB9" w:rsidRPr="00184716" w:rsidRDefault="00B41AB9" w:rsidP="00B41AB9">
      <w:pPr>
        <w:spacing w:after="0" w:line="240" w:lineRule="auto"/>
        <w:ind w:firstLine="709"/>
        <w:jc w:val="center"/>
        <w:rPr>
          <w:rFonts w:ascii="Times New Roman" w:eastAsia="Times New Roman" w:hAnsi="Times New Roman" w:cs="Times New Roman"/>
          <w:b/>
          <w:sz w:val="28"/>
          <w:szCs w:val="28"/>
          <w:u w:val="single"/>
          <w:lang w:eastAsia="uk-UA"/>
        </w:rPr>
      </w:pPr>
      <w:r w:rsidRPr="00184716">
        <w:rPr>
          <w:rFonts w:ascii="Times New Roman" w:eastAsia="Times New Roman" w:hAnsi="Times New Roman" w:cs="Times New Roman"/>
          <w:b/>
          <w:sz w:val="28"/>
          <w:szCs w:val="28"/>
          <w:u w:val="single"/>
          <w:lang w:eastAsia="uk-UA"/>
        </w:rPr>
        <w:t xml:space="preserve">Правило формування </w:t>
      </w:r>
      <w:r w:rsidR="00132DD1">
        <w:rPr>
          <w:rFonts w:ascii="Times New Roman" w:eastAsia="Times New Roman" w:hAnsi="Times New Roman" w:cs="Times New Roman"/>
          <w:b/>
          <w:sz w:val="28"/>
          <w:szCs w:val="28"/>
          <w:u w:val="single"/>
          <w:lang w:eastAsia="uk-UA"/>
        </w:rPr>
        <w:t>п</w:t>
      </w:r>
      <w:r w:rsidRPr="00184716">
        <w:rPr>
          <w:rFonts w:ascii="Times New Roman" w:eastAsia="Times New Roman" w:hAnsi="Times New Roman" w:cs="Times New Roman"/>
          <w:b/>
          <w:sz w:val="28"/>
          <w:szCs w:val="28"/>
          <w:u w:val="single"/>
          <w:lang w:eastAsia="uk-UA"/>
        </w:rPr>
        <w:t xml:space="preserve">оказника </w:t>
      </w:r>
      <w:r w:rsidRPr="0065286B">
        <w:rPr>
          <w:rFonts w:ascii="Times New Roman" w:eastAsia="Times New Roman" w:hAnsi="Times New Roman" w:cs="Times New Roman"/>
          <w:b/>
          <w:sz w:val="28"/>
          <w:szCs w:val="28"/>
          <w:u w:val="single"/>
          <w:lang w:eastAsia="uk-UA"/>
        </w:rPr>
        <w:t>A</w:t>
      </w:r>
      <w:r w:rsidR="00111004">
        <w:rPr>
          <w:rFonts w:ascii="Times New Roman" w:eastAsia="Times New Roman" w:hAnsi="Times New Roman" w:cs="Times New Roman"/>
          <w:b/>
          <w:sz w:val="28"/>
          <w:szCs w:val="28"/>
          <w:u w:val="single"/>
          <w:lang w:eastAsia="uk-UA"/>
        </w:rPr>
        <w:t>7G</w:t>
      </w:r>
      <w:r w:rsidR="00A012CC">
        <w:rPr>
          <w:rFonts w:ascii="Times New Roman" w:eastAsia="Times New Roman" w:hAnsi="Times New Roman" w:cs="Times New Roman"/>
          <w:b/>
          <w:sz w:val="28"/>
          <w:szCs w:val="28"/>
          <w:u w:val="single"/>
          <w:lang w:eastAsia="uk-UA"/>
        </w:rPr>
        <w:t>01</w:t>
      </w:r>
      <w:r w:rsidR="00581792">
        <w:rPr>
          <w:rFonts w:ascii="Times New Roman" w:eastAsia="Times New Roman" w:hAnsi="Times New Roman" w:cs="Times New Roman"/>
          <w:b/>
          <w:sz w:val="28"/>
          <w:szCs w:val="28"/>
          <w:u w:val="single"/>
          <w:lang w:eastAsia="uk-UA"/>
        </w:rPr>
        <w:t>0</w:t>
      </w:r>
      <w:r w:rsidRPr="0065286B">
        <w:rPr>
          <w:rFonts w:ascii="Times New Roman" w:eastAsia="Times New Roman" w:hAnsi="Times New Roman" w:cs="Times New Roman"/>
          <w:b/>
          <w:sz w:val="28"/>
          <w:szCs w:val="28"/>
          <w:u w:val="single"/>
          <w:lang w:eastAsia="uk-UA"/>
        </w:rPr>
        <w:t xml:space="preserve"> </w:t>
      </w:r>
      <w:r w:rsidRPr="00184716">
        <w:rPr>
          <w:rFonts w:ascii="Times New Roman" w:eastAsia="Times New Roman" w:hAnsi="Times New Roman" w:cs="Times New Roman"/>
          <w:b/>
          <w:sz w:val="28"/>
          <w:szCs w:val="28"/>
          <w:u w:val="single"/>
          <w:lang w:eastAsia="uk-UA"/>
        </w:rPr>
        <w:t>“</w:t>
      </w:r>
      <w:r w:rsidRPr="00B41AB9">
        <w:rPr>
          <w:rFonts w:ascii="Times New Roman" w:eastAsia="Times New Roman" w:hAnsi="Times New Roman" w:cs="Times New Roman"/>
          <w:b/>
          <w:sz w:val="28"/>
          <w:szCs w:val="28"/>
          <w:u w:val="single"/>
          <w:lang w:eastAsia="uk-UA"/>
        </w:rPr>
        <w:t>Максимальна строковість стабільних залишків за зобов'язаннями</w:t>
      </w:r>
      <w:r w:rsidR="003643C2">
        <w:rPr>
          <w:rFonts w:ascii="Times New Roman" w:eastAsia="Times New Roman" w:hAnsi="Times New Roman" w:cs="Times New Roman"/>
          <w:b/>
          <w:sz w:val="28"/>
          <w:szCs w:val="28"/>
          <w:u w:val="single"/>
          <w:lang w:eastAsia="uk-UA"/>
        </w:rPr>
        <w:t>,</w:t>
      </w:r>
      <w:r w:rsidR="006245F8" w:rsidRPr="006245F8">
        <w:rPr>
          <w:rFonts w:ascii="Times New Roman" w:eastAsia="Times New Roman" w:hAnsi="Times New Roman" w:cs="Times New Roman"/>
          <w:b/>
          <w:sz w:val="28"/>
          <w:szCs w:val="28"/>
          <w:u w:val="single"/>
          <w:lang w:eastAsia="uk-UA"/>
        </w:rPr>
        <w:t xml:space="preserve"> чутливими до процентного ризику</w:t>
      </w:r>
      <w:r w:rsidRPr="00184716">
        <w:rPr>
          <w:rFonts w:ascii="Times New Roman" w:eastAsia="Times New Roman" w:hAnsi="Times New Roman" w:cs="Times New Roman"/>
          <w:b/>
          <w:sz w:val="28"/>
          <w:szCs w:val="28"/>
          <w:u w:val="single"/>
          <w:lang w:eastAsia="uk-UA"/>
        </w:rPr>
        <w:t>”</w:t>
      </w:r>
    </w:p>
    <w:p w14:paraId="33009816" w14:textId="77777777" w:rsidR="006245F8" w:rsidRDefault="006245F8" w:rsidP="00493DCF">
      <w:pPr>
        <w:spacing w:after="0" w:line="240" w:lineRule="auto"/>
        <w:ind w:firstLine="709"/>
        <w:jc w:val="both"/>
        <w:rPr>
          <w:rFonts w:ascii="Times New Roman" w:eastAsia="Times New Roman" w:hAnsi="Times New Roman" w:cs="Times New Roman"/>
          <w:bCs/>
          <w:sz w:val="28"/>
          <w:szCs w:val="28"/>
          <w:lang w:eastAsia="uk-UA"/>
        </w:rPr>
      </w:pPr>
    </w:p>
    <w:p w14:paraId="6BE74519" w14:textId="4A1EA6F9" w:rsidR="00727777" w:rsidRPr="00493DCF" w:rsidRDefault="000A68CC" w:rsidP="00493DCF">
      <w:pPr>
        <w:spacing w:after="0" w:line="240" w:lineRule="auto"/>
        <w:ind w:firstLine="709"/>
        <w:jc w:val="both"/>
        <w:rPr>
          <w:rFonts w:ascii="Times New Roman" w:eastAsia="Times New Roman" w:hAnsi="Times New Roman" w:cs="Times New Roman"/>
          <w:bCs/>
          <w:sz w:val="28"/>
          <w:szCs w:val="28"/>
          <w:lang w:val="ru-RU" w:eastAsia="uk-UA"/>
        </w:rPr>
      </w:pPr>
      <w:r>
        <w:rPr>
          <w:rFonts w:ascii="Times New Roman" w:eastAsia="Times New Roman" w:hAnsi="Times New Roman" w:cs="Times New Roman"/>
          <w:bCs/>
          <w:sz w:val="28"/>
          <w:szCs w:val="28"/>
          <w:lang w:eastAsia="uk-UA"/>
        </w:rPr>
        <w:t xml:space="preserve">Зазначається </w:t>
      </w:r>
      <w:r w:rsidRPr="000A68CC">
        <w:rPr>
          <w:rFonts w:ascii="Times New Roman" w:eastAsia="Times New Roman" w:hAnsi="Times New Roman" w:cs="Times New Roman"/>
          <w:bCs/>
          <w:sz w:val="28"/>
          <w:szCs w:val="28"/>
          <w:lang w:eastAsia="uk-UA"/>
        </w:rPr>
        <w:t>максимальна строковість стабільних залишків за зобов'язаннями</w:t>
      </w:r>
      <w:r w:rsidR="003643C2">
        <w:rPr>
          <w:rFonts w:ascii="Times New Roman" w:eastAsia="Times New Roman" w:hAnsi="Times New Roman" w:cs="Times New Roman"/>
          <w:bCs/>
          <w:sz w:val="28"/>
          <w:szCs w:val="28"/>
          <w:lang w:eastAsia="uk-UA"/>
        </w:rPr>
        <w:t>,</w:t>
      </w:r>
      <w:r w:rsidRPr="000A68CC">
        <w:rPr>
          <w:rFonts w:ascii="Times New Roman" w:eastAsia="Times New Roman" w:hAnsi="Times New Roman" w:cs="Times New Roman"/>
          <w:bCs/>
          <w:sz w:val="28"/>
          <w:szCs w:val="28"/>
          <w:lang w:eastAsia="uk-UA"/>
        </w:rPr>
        <w:t xml:space="preserve"> </w:t>
      </w:r>
      <w:r w:rsidR="006245F8" w:rsidRPr="006245F8">
        <w:rPr>
          <w:rFonts w:ascii="Times New Roman" w:eastAsia="Times New Roman" w:hAnsi="Times New Roman" w:cs="Times New Roman"/>
          <w:bCs/>
          <w:sz w:val="28"/>
          <w:szCs w:val="28"/>
          <w:lang w:eastAsia="uk-UA"/>
        </w:rPr>
        <w:t>чутливими до</w:t>
      </w:r>
      <w:r w:rsidR="00332E03" w:rsidRPr="00332E03">
        <w:rPr>
          <w:rFonts w:ascii="Times New Roman" w:eastAsia="Times New Roman" w:hAnsi="Times New Roman" w:cs="Times New Roman"/>
          <w:bCs/>
          <w:sz w:val="28"/>
          <w:szCs w:val="28"/>
          <w:lang w:val="ru-RU" w:eastAsia="uk-UA"/>
        </w:rPr>
        <w:t xml:space="preserve"> </w:t>
      </w:r>
      <w:r w:rsidR="00332E03">
        <w:rPr>
          <w:rFonts w:ascii="Times New Roman" w:eastAsia="Times New Roman" w:hAnsi="Times New Roman" w:cs="Times New Roman"/>
          <w:bCs/>
          <w:sz w:val="28"/>
          <w:szCs w:val="28"/>
          <w:lang w:val="en-US" w:eastAsia="uk-UA"/>
        </w:rPr>
        <w:t>IRRBB</w:t>
      </w:r>
      <w:r w:rsidR="003643C2">
        <w:rPr>
          <w:rFonts w:ascii="Times New Roman" w:eastAsia="Times New Roman" w:hAnsi="Times New Roman" w:cs="Times New Roman"/>
          <w:bCs/>
          <w:sz w:val="28"/>
          <w:szCs w:val="28"/>
          <w:lang w:eastAsia="uk-UA"/>
        </w:rPr>
        <w:t>,</w:t>
      </w:r>
      <w:r w:rsidR="00B53739">
        <w:rPr>
          <w:rFonts w:ascii="Times New Roman" w:eastAsia="Times New Roman" w:hAnsi="Times New Roman" w:cs="Times New Roman"/>
          <w:bCs/>
          <w:sz w:val="28"/>
          <w:szCs w:val="28"/>
          <w:lang w:eastAsia="uk-UA"/>
        </w:rPr>
        <w:t xml:space="preserve"> </w:t>
      </w:r>
      <w:r w:rsidRPr="000A68CC">
        <w:rPr>
          <w:rFonts w:ascii="Times New Roman" w:eastAsia="Times New Roman" w:hAnsi="Times New Roman" w:cs="Times New Roman"/>
          <w:bCs/>
          <w:sz w:val="28"/>
          <w:szCs w:val="28"/>
          <w:lang w:eastAsia="uk-UA"/>
        </w:rPr>
        <w:t xml:space="preserve">без визначеного строку </w:t>
      </w:r>
      <w:r w:rsidR="006245F8">
        <w:rPr>
          <w:rFonts w:ascii="Times New Roman" w:eastAsia="Times New Roman" w:hAnsi="Times New Roman" w:cs="Times New Roman"/>
          <w:bCs/>
          <w:sz w:val="28"/>
          <w:szCs w:val="28"/>
          <w:lang w:eastAsia="uk-UA"/>
        </w:rPr>
        <w:t xml:space="preserve">до </w:t>
      </w:r>
      <w:r w:rsidRPr="000A68CC">
        <w:rPr>
          <w:rFonts w:ascii="Times New Roman" w:eastAsia="Times New Roman" w:hAnsi="Times New Roman" w:cs="Times New Roman"/>
          <w:bCs/>
          <w:sz w:val="28"/>
          <w:szCs w:val="28"/>
          <w:lang w:eastAsia="uk-UA"/>
        </w:rPr>
        <w:t>погашення</w:t>
      </w:r>
      <w:r w:rsidR="005F7E4D">
        <w:rPr>
          <w:rFonts w:ascii="Times New Roman" w:eastAsia="Times New Roman" w:hAnsi="Times New Roman" w:cs="Times New Roman"/>
          <w:bCs/>
          <w:sz w:val="28"/>
          <w:szCs w:val="28"/>
          <w:lang w:eastAsia="uk-UA"/>
        </w:rPr>
        <w:t xml:space="preserve"> (кількість днів)</w:t>
      </w:r>
      <w:r>
        <w:rPr>
          <w:rFonts w:ascii="Times New Roman" w:eastAsia="Times New Roman" w:hAnsi="Times New Roman" w:cs="Times New Roman"/>
          <w:bCs/>
          <w:sz w:val="28"/>
          <w:szCs w:val="28"/>
          <w:lang w:eastAsia="uk-UA"/>
        </w:rPr>
        <w:t>.</w:t>
      </w:r>
    </w:p>
    <w:sectPr w:rsidR="00727777" w:rsidRPr="00493DCF"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FB9BC" w14:textId="77777777" w:rsidR="007A4056" w:rsidRDefault="007A4056" w:rsidP="00E01B21">
      <w:pPr>
        <w:spacing w:after="0" w:line="240" w:lineRule="auto"/>
      </w:pPr>
      <w:r>
        <w:separator/>
      </w:r>
    </w:p>
  </w:endnote>
  <w:endnote w:type="continuationSeparator" w:id="0">
    <w:p w14:paraId="4F0737F1" w14:textId="77777777" w:rsidR="007A4056" w:rsidRDefault="007A4056"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826C" w14:textId="77777777" w:rsidR="007A4056" w:rsidRDefault="007A4056" w:rsidP="00E01B21">
      <w:pPr>
        <w:spacing w:after="0" w:line="240" w:lineRule="auto"/>
      </w:pPr>
      <w:r>
        <w:separator/>
      </w:r>
    </w:p>
  </w:footnote>
  <w:footnote w:type="continuationSeparator" w:id="0">
    <w:p w14:paraId="2C5D3471" w14:textId="77777777" w:rsidR="007A4056" w:rsidRDefault="007A4056"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64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04A16A9"/>
    <w:multiLevelType w:val="hybridMultilevel"/>
    <w:tmpl w:val="F9C82960"/>
    <w:lvl w:ilvl="0" w:tplc="B9E066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1"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9"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25"/>
  </w:num>
  <w:num w:numId="3">
    <w:abstractNumId w:val="12"/>
  </w:num>
  <w:num w:numId="4">
    <w:abstractNumId w:val="26"/>
  </w:num>
  <w:num w:numId="5">
    <w:abstractNumId w:val="22"/>
  </w:num>
  <w:num w:numId="6">
    <w:abstractNumId w:val="5"/>
  </w:num>
  <w:num w:numId="7">
    <w:abstractNumId w:val="21"/>
  </w:num>
  <w:num w:numId="8">
    <w:abstractNumId w:val="32"/>
  </w:num>
  <w:num w:numId="9">
    <w:abstractNumId w:val="24"/>
  </w:num>
  <w:num w:numId="10">
    <w:abstractNumId w:val="41"/>
  </w:num>
  <w:num w:numId="11">
    <w:abstractNumId w:val="10"/>
  </w:num>
  <w:num w:numId="12">
    <w:abstractNumId w:val="15"/>
  </w:num>
  <w:num w:numId="13">
    <w:abstractNumId w:val="34"/>
  </w:num>
  <w:num w:numId="14">
    <w:abstractNumId w:val="0"/>
  </w:num>
  <w:num w:numId="15">
    <w:abstractNumId w:val="9"/>
  </w:num>
  <w:num w:numId="16">
    <w:abstractNumId w:val="27"/>
  </w:num>
  <w:num w:numId="17">
    <w:abstractNumId w:val="4"/>
  </w:num>
  <w:num w:numId="18">
    <w:abstractNumId w:val="30"/>
  </w:num>
  <w:num w:numId="19">
    <w:abstractNumId w:val="23"/>
  </w:num>
  <w:num w:numId="20">
    <w:abstractNumId w:val="17"/>
  </w:num>
  <w:num w:numId="21">
    <w:abstractNumId w:val="6"/>
  </w:num>
  <w:num w:numId="22">
    <w:abstractNumId w:val="19"/>
  </w:num>
  <w:num w:numId="23">
    <w:abstractNumId w:val="1"/>
  </w:num>
  <w:num w:numId="24">
    <w:abstractNumId w:val="31"/>
  </w:num>
  <w:num w:numId="25">
    <w:abstractNumId w:val="2"/>
  </w:num>
  <w:num w:numId="26">
    <w:abstractNumId w:val="35"/>
  </w:num>
  <w:num w:numId="27">
    <w:abstractNumId w:val="11"/>
  </w:num>
  <w:num w:numId="28">
    <w:abstractNumId w:val="36"/>
  </w:num>
  <w:num w:numId="29">
    <w:abstractNumId w:val="33"/>
  </w:num>
  <w:num w:numId="30">
    <w:abstractNumId w:val="29"/>
  </w:num>
  <w:num w:numId="31">
    <w:abstractNumId w:val="18"/>
  </w:num>
  <w:num w:numId="32">
    <w:abstractNumId w:val="42"/>
  </w:num>
  <w:num w:numId="33">
    <w:abstractNumId w:val="40"/>
  </w:num>
  <w:num w:numId="34">
    <w:abstractNumId w:val="39"/>
  </w:num>
  <w:num w:numId="35">
    <w:abstractNumId w:val="3"/>
  </w:num>
  <w:num w:numId="36">
    <w:abstractNumId w:val="14"/>
  </w:num>
  <w:num w:numId="37">
    <w:abstractNumId w:val="20"/>
  </w:num>
  <w:num w:numId="38">
    <w:abstractNumId w:val="38"/>
  </w:num>
  <w:num w:numId="39">
    <w:abstractNumId w:val="16"/>
  </w:num>
  <w:num w:numId="40">
    <w:abstractNumId w:val="37"/>
  </w:num>
  <w:num w:numId="41">
    <w:abstractNumId w:val="28"/>
  </w:num>
  <w:num w:numId="42">
    <w:abstractNumId w:val="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6DB7"/>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EA9"/>
    <w:rsid w:val="00031E04"/>
    <w:rsid w:val="0003295D"/>
    <w:rsid w:val="00033039"/>
    <w:rsid w:val="00034C2C"/>
    <w:rsid w:val="00041D0F"/>
    <w:rsid w:val="00044154"/>
    <w:rsid w:val="00050949"/>
    <w:rsid w:val="00050C78"/>
    <w:rsid w:val="00053EE6"/>
    <w:rsid w:val="000557DF"/>
    <w:rsid w:val="00055F8D"/>
    <w:rsid w:val="000566FB"/>
    <w:rsid w:val="000610B6"/>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A68CC"/>
    <w:rsid w:val="000B3474"/>
    <w:rsid w:val="000B435A"/>
    <w:rsid w:val="000B6C36"/>
    <w:rsid w:val="000C4C35"/>
    <w:rsid w:val="000C58A6"/>
    <w:rsid w:val="000D0E34"/>
    <w:rsid w:val="000D1E94"/>
    <w:rsid w:val="000D4922"/>
    <w:rsid w:val="000D5A95"/>
    <w:rsid w:val="000E4103"/>
    <w:rsid w:val="000F0EAA"/>
    <w:rsid w:val="000F6780"/>
    <w:rsid w:val="000F70A3"/>
    <w:rsid w:val="000F7563"/>
    <w:rsid w:val="001002C4"/>
    <w:rsid w:val="00104241"/>
    <w:rsid w:val="00107078"/>
    <w:rsid w:val="00111004"/>
    <w:rsid w:val="00111B0A"/>
    <w:rsid w:val="00114874"/>
    <w:rsid w:val="00116365"/>
    <w:rsid w:val="00120293"/>
    <w:rsid w:val="00123298"/>
    <w:rsid w:val="00123EAD"/>
    <w:rsid w:val="001267B5"/>
    <w:rsid w:val="00126C1A"/>
    <w:rsid w:val="0013144D"/>
    <w:rsid w:val="00132276"/>
    <w:rsid w:val="00132DD1"/>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9201F"/>
    <w:rsid w:val="00192CC9"/>
    <w:rsid w:val="001962F3"/>
    <w:rsid w:val="0019685B"/>
    <w:rsid w:val="00197C93"/>
    <w:rsid w:val="001A0BA7"/>
    <w:rsid w:val="001A6BCD"/>
    <w:rsid w:val="001A6DBE"/>
    <w:rsid w:val="001B1E76"/>
    <w:rsid w:val="001B245D"/>
    <w:rsid w:val="001B31F3"/>
    <w:rsid w:val="001B64C8"/>
    <w:rsid w:val="001B7A85"/>
    <w:rsid w:val="001B7CF4"/>
    <w:rsid w:val="001C1870"/>
    <w:rsid w:val="001C1ED0"/>
    <w:rsid w:val="001C290C"/>
    <w:rsid w:val="001C61D8"/>
    <w:rsid w:val="001C65F2"/>
    <w:rsid w:val="001D2276"/>
    <w:rsid w:val="001D4238"/>
    <w:rsid w:val="001D595A"/>
    <w:rsid w:val="001D707F"/>
    <w:rsid w:val="001E0CB7"/>
    <w:rsid w:val="001E13D5"/>
    <w:rsid w:val="001E1AC5"/>
    <w:rsid w:val="001E2070"/>
    <w:rsid w:val="001F13B0"/>
    <w:rsid w:val="001F1491"/>
    <w:rsid w:val="001F1B80"/>
    <w:rsid w:val="001F2487"/>
    <w:rsid w:val="001F6AE3"/>
    <w:rsid w:val="00202294"/>
    <w:rsid w:val="0020381D"/>
    <w:rsid w:val="00203DD1"/>
    <w:rsid w:val="00203F10"/>
    <w:rsid w:val="002068D3"/>
    <w:rsid w:val="00211B4E"/>
    <w:rsid w:val="00213758"/>
    <w:rsid w:val="00215167"/>
    <w:rsid w:val="00215519"/>
    <w:rsid w:val="00220510"/>
    <w:rsid w:val="00223F7A"/>
    <w:rsid w:val="0022408B"/>
    <w:rsid w:val="00225159"/>
    <w:rsid w:val="002263C5"/>
    <w:rsid w:val="0022797B"/>
    <w:rsid w:val="002310A3"/>
    <w:rsid w:val="00231C54"/>
    <w:rsid w:val="00232E1A"/>
    <w:rsid w:val="00234366"/>
    <w:rsid w:val="002365E4"/>
    <w:rsid w:val="002378A0"/>
    <w:rsid w:val="00237EFA"/>
    <w:rsid w:val="00240754"/>
    <w:rsid w:val="00243F69"/>
    <w:rsid w:val="0024619A"/>
    <w:rsid w:val="00250EC1"/>
    <w:rsid w:val="002526BE"/>
    <w:rsid w:val="002532BB"/>
    <w:rsid w:val="0025451C"/>
    <w:rsid w:val="0025501F"/>
    <w:rsid w:val="002567B0"/>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97A01"/>
    <w:rsid w:val="002A0A44"/>
    <w:rsid w:val="002A0DBE"/>
    <w:rsid w:val="002A4439"/>
    <w:rsid w:val="002A5472"/>
    <w:rsid w:val="002B0BC8"/>
    <w:rsid w:val="002B44A1"/>
    <w:rsid w:val="002B5EEA"/>
    <w:rsid w:val="002C559E"/>
    <w:rsid w:val="002D0980"/>
    <w:rsid w:val="002D2451"/>
    <w:rsid w:val="002D644E"/>
    <w:rsid w:val="002D7024"/>
    <w:rsid w:val="002D7736"/>
    <w:rsid w:val="002E012B"/>
    <w:rsid w:val="002E1F65"/>
    <w:rsid w:val="002E2506"/>
    <w:rsid w:val="002E2626"/>
    <w:rsid w:val="002E399E"/>
    <w:rsid w:val="002E7A6D"/>
    <w:rsid w:val="002F719C"/>
    <w:rsid w:val="002F7E2B"/>
    <w:rsid w:val="00300372"/>
    <w:rsid w:val="003009D8"/>
    <w:rsid w:val="003018B1"/>
    <w:rsid w:val="00303197"/>
    <w:rsid w:val="00305798"/>
    <w:rsid w:val="00311750"/>
    <w:rsid w:val="0031365C"/>
    <w:rsid w:val="00314177"/>
    <w:rsid w:val="00314456"/>
    <w:rsid w:val="00315E40"/>
    <w:rsid w:val="003171F3"/>
    <w:rsid w:val="003255AA"/>
    <w:rsid w:val="00330680"/>
    <w:rsid w:val="00332528"/>
    <w:rsid w:val="003328CF"/>
    <w:rsid w:val="00332E03"/>
    <w:rsid w:val="00334EBB"/>
    <w:rsid w:val="00335927"/>
    <w:rsid w:val="0033665F"/>
    <w:rsid w:val="003432AB"/>
    <w:rsid w:val="00345528"/>
    <w:rsid w:val="0034586C"/>
    <w:rsid w:val="003471ED"/>
    <w:rsid w:val="00347F3F"/>
    <w:rsid w:val="00351993"/>
    <w:rsid w:val="003522F0"/>
    <w:rsid w:val="0035493E"/>
    <w:rsid w:val="00356031"/>
    <w:rsid w:val="0036055C"/>
    <w:rsid w:val="003643C2"/>
    <w:rsid w:val="0036773E"/>
    <w:rsid w:val="003723D3"/>
    <w:rsid w:val="003732EB"/>
    <w:rsid w:val="003764DF"/>
    <w:rsid w:val="00376B31"/>
    <w:rsid w:val="0037777B"/>
    <w:rsid w:val="0037796D"/>
    <w:rsid w:val="00380D0E"/>
    <w:rsid w:val="00386AE1"/>
    <w:rsid w:val="003921A5"/>
    <w:rsid w:val="003A00BA"/>
    <w:rsid w:val="003A0ECA"/>
    <w:rsid w:val="003A1259"/>
    <w:rsid w:val="003A13D2"/>
    <w:rsid w:val="003A21A4"/>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CAE"/>
    <w:rsid w:val="004321AA"/>
    <w:rsid w:val="00435429"/>
    <w:rsid w:val="00436012"/>
    <w:rsid w:val="0043711C"/>
    <w:rsid w:val="004412F7"/>
    <w:rsid w:val="00444BC6"/>
    <w:rsid w:val="0044516C"/>
    <w:rsid w:val="00447C90"/>
    <w:rsid w:val="004533AE"/>
    <w:rsid w:val="004560D8"/>
    <w:rsid w:val="004568B1"/>
    <w:rsid w:val="00465256"/>
    <w:rsid w:val="0046553F"/>
    <w:rsid w:val="00471E71"/>
    <w:rsid w:val="00472A01"/>
    <w:rsid w:val="004732E6"/>
    <w:rsid w:val="0047478B"/>
    <w:rsid w:val="00481479"/>
    <w:rsid w:val="00484B0D"/>
    <w:rsid w:val="00484C32"/>
    <w:rsid w:val="00487739"/>
    <w:rsid w:val="00487836"/>
    <w:rsid w:val="00487860"/>
    <w:rsid w:val="00487A69"/>
    <w:rsid w:val="00487BB7"/>
    <w:rsid w:val="00493754"/>
    <w:rsid w:val="00493DCF"/>
    <w:rsid w:val="00494D60"/>
    <w:rsid w:val="004A120F"/>
    <w:rsid w:val="004A3EF3"/>
    <w:rsid w:val="004A61A1"/>
    <w:rsid w:val="004A704F"/>
    <w:rsid w:val="004B06C0"/>
    <w:rsid w:val="004B076B"/>
    <w:rsid w:val="004B33F1"/>
    <w:rsid w:val="004B51D6"/>
    <w:rsid w:val="004B66DF"/>
    <w:rsid w:val="004C1BD2"/>
    <w:rsid w:val="004D1CE0"/>
    <w:rsid w:val="004D6717"/>
    <w:rsid w:val="004D79E1"/>
    <w:rsid w:val="004E149A"/>
    <w:rsid w:val="004E178E"/>
    <w:rsid w:val="004E2E62"/>
    <w:rsid w:val="004E308A"/>
    <w:rsid w:val="004E60F6"/>
    <w:rsid w:val="004E704C"/>
    <w:rsid w:val="004E7696"/>
    <w:rsid w:val="004F0611"/>
    <w:rsid w:val="004F12D3"/>
    <w:rsid w:val="004F1AC0"/>
    <w:rsid w:val="004F6BBE"/>
    <w:rsid w:val="005064A2"/>
    <w:rsid w:val="00506E31"/>
    <w:rsid w:val="00512CE6"/>
    <w:rsid w:val="00513F1F"/>
    <w:rsid w:val="00524217"/>
    <w:rsid w:val="00526226"/>
    <w:rsid w:val="00527A50"/>
    <w:rsid w:val="005311BA"/>
    <w:rsid w:val="005325F6"/>
    <w:rsid w:val="00532DA7"/>
    <w:rsid w:val="00535144"/>
    <w:rsid w:val="00537385"/>
    <w:rsid w:val="005402EB"/>
    <w:rsid w:val="005410D6"/>
    <w:rsid w:val="00543D84"/>
    <w:rsid w:val="005444BB"/>
    <w:rsid w:val="00544DBC"/>
    <w:rsid w:val="00546481"/>
    <w:rsid w:val="00546A7A"/>
    <w:rsid w:val="00552B1F"/>
    <w:rsid w:val="00554662"/>
    <w:rsid w:val="00557A2C"/>
    <w:rsid w:val="005614BD"/>
    <w:rsid w:val="005627AF"/>
    <w:rsid w:val="0056374C"/>
    <w:rsid w:val="00570A46"/>
    <w:rsid w:val="00570E10"/>
    <w:rsid w:val="00571C51"/>
    <w:rsid w:val="0057552C"/>
    <w:rsid w:val="0057749B"/>
    <w:rsid w:val="00580969"/>
    <w:rsid w:val="00581616"/>
    <w:rsid w:val="00581792"/>
    <w:rsid w:val="00581CE8"/>
    <w:rsid w:val="00582BB8"/>
    <w:rsid w:val="00586627"/>
    <w:rsid w:val="00592560"/>
    <w:rsid w:val="0059275D"/>
    <w:rsid w:val="00594245"/>
    <w:rsid w:val="005962EE"/>
    <w:rsid w:val="005A2E2C"/>
    <w:rsid w:val="005A31B3"/>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63A7"/>
    <w:rsid w:val="005F1E09"/>
    <w:rsid w:val="005F36B6"/>
    <w:rsid w:val="005F6DB9"/>
    <w:rsid w:val="005F717C"/>
    <w:rsid w:val="005F7E4D"/>
    <w:rsid w:val="00600175"/>
    <w:rsid w:val="00605B34"/>
    <w:rsid w:val="006121EC"/>
    <w:rsid w:val="0061304B"/>
    <w:rsid w:val="006135DF"/>
    <w:rsid w:val="00613E69"/>
    <w:rsid w:val="00616D24"/>
    <w:rsid w:val="006175CD"/>
    <w:rsid w:val="00617DC7"/>
    <w:rsid w:val="00622667"/>
    <w:rsid w:val="006245F8"/>
    <w:rsid w:val="00631BB5"/>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677D"/>
    <w:rsid w:val="0069089C"/>
    <w:rsid w:val="0069401B"/>
    <w:rsid w:val="00696E92"/>
    <w:rsid w:val="006B21F1"/>
    <w:rsid w:val="006B5C6E"/>
    <w:rsid w:val="006B7190"/>
    <w:rsid w:val="006C0467"/>
    <w:rsid w:val="006C63A9"/>
    <w:rsid w:val="006C77E9"/>
    <w:rsid w:val="006D12F2"/>
    <w:rsid w:val="006D2A7B"/>
    <w:rsid w:val="006D6752"/>
    <w:rsid w:val="006D7158"/>
    <w:rsid w:val="006E4FE7"/>
    <w:rsid w:val="006E7FB6"/>
    <w:rsid w:val="006F15D9"/>
    <w:rsid w:val="006F61C2"/>
    <w:rsid w:val="0070278B"/>
    <w:rsid w:val="007028CB"/>
    <w:rsid w:val="0070409E"/>
    <w:rsid w:val="007046AD"/>
    <w:rsid w:val="00704D69"/>
    <w:rsid w:val="007073CF"/>
    <w:rsid w:val="007077CD"/>
    <w:rsid w:val="007105D8"/>
    <w:rsid w:val="007200A6"/>
    <w:rsid w:val="007235CD"/>
    <w:rsid w:val="00723BBB"/>
    <w:rsid w:val="00724E76"/>
    <w:rsid w:val="00727777"/>
    <w:rsid w:val="00732E8D"/>
    <w:rsid w:val="00733A3B"/>
    <w:rsid w:val="007369C1"/>
    <w:rsid w:val="00736CC7"/>
    <w:rsid w:val="00737082"/>
    <w:rsid w:val="00741319"/>
    <w:rsid w:val="0074225A"/>
    <w:rsid w:val="00744D2C"/>
    <w:rsid w:val="0075154A"/>
    <w:rsid w:val="00751617"/>
    <w:rsid w:val="00752958"/>
    <w:rsid w:val="007529D0"/>
    <w:rsid w:val="007539CF"/>
    <w:rsid w:val="00753EF3"/>
    <w:rsid w:val="0075406B"/>
    <w:rsid w:val="007556B3"/>
    <w:rsid w:val="007561C6"/>
    <w:rsid w:val="007657BE"/>
    <w:rsid w:val="00766457"/>
    <w:rsid w:val="00770E2D"/>
    <w:rsid w:val="00772DDB"/>
    <w:rsid w:val="0077461D"/>
    <w:rsid w:val="00774ECF"/>
    <w:rsid w:val="00780B1A"/>
    <w:rsid w:val="0078154B"/>
    <w:rsid w:val="00781E97"/>
    <w:rsid w:val="007847BD"/>
    <w:rsid w:val="00785950"/>
    <w:rsid w:val="0078666A"/>
    <w:rsid w:val="00791532"/>
    <w:rsid w:val="007919A7"/>
    <w:rsid w:val="00792569"/>
    <w:rsid w:val="00793EC1"/>
    <w:rsid w:val="007A1947"/>
    <w:rsid w:val="007A1EF8"/>
    <w:rsid w:val="007A210C"/>
    <w:rsid w:val="007A3237"/>
    <w:rsid w:val="007A3B62"/>
    <w:rsid w:val="007A4056"/>
    <w:rsid w:val="007A63C6"/>
    <w:rsid w:val="007B03BC"/>
    <w:rsid w:val="007B1114"/>
    <w:rsid w:val="007B1948"/>
    <w:rsid w:val="007B2FDF"/>
    <w:rsid w:val="007B52BE"/>
    <w:rsid w:val="007B6250"/>
    <w:rsid w:val="007B77BE"/>
    <w:rsid w:val="007C0688"/>
    <w:rsid w:val="007C186C"/>
    <w:rsid w:val="007C18B4"/>
    <w:rsid w:val="007C272A"/>
    <w:rsid w:val="007C5693"/>
    <w:rsid w:val="007C57A2"/>
    <w:rsid w:val="007C591A"/>
    <w:rsid w:val="007D1D50"/>
    <w:rsid w:val="007D48B4"/>
    <w:rsid w:val="007D690D"/>
    <w:rsid w:val="007D6A81"/>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6DB8"/>
    <w:rsid w:val="00827EF6"/>
    <w:rsid w:val="008317E4"/>
    <w:rsid w:val="00834337"/>
    <w:rsid w:val="00841164"/>
    <w:rsid w:val="00851335"/>
    <w:rsid w:val="00851755"/>
    <w:rsid w:val="00851A99"/>
    <w:rsid w:val="008570E0"/>
    <w:rsid w:val="00861A2C"/>
    <w:rsid w:val="00862BF4"/>
    <w:rsid w:val="00864020"/>
    <w:rsid w:val="00867DC2"/>
    <w:rsid w:val="00871CA0"/>
    <w:rsid w:val="008768DD"/>
    <w:rsid w:val="00877BBA"/>
    <w:rsid w:val="008802C3"/>
    <w:rsid w:val="00880EAE"/>
    <w:rsid w:val="0088213B"/>
    <w:rsid w:val="008821B5"/>
    <w:rsid w:val="00883DBF"/>
    <w:rsid w:val="00885CF4"/>
    <w:rsid w:val="00885D90"/>
    <w:rsid w:val="0088742D"/>
    <w:rsid w:val="008918C5"/>
    <w:rsid w:val="00894198"/>
    <w:rsid w:val="0089527B"/>
    <w:rsid w:val="00897A7A"/>
    <w:rsid w:val="008A2660"/>
    <w:rsid w:val="008A7232"/>
    <w:rsid w:val="008A7BF1"/>
    <w:rsid w:val="008B57B7"/>
    <w:rsid w:val="008B71F6"/>
    <w:rsid w:val="008C1E7C"/>
    <w:rsid w:val="008C3577"/>
    <w:rsid w:val="008C45D0"/>
    <w:rsid w:val="008C6817"/>
    <w:rsid w:val="008D15B8"/>
    <w:rsid w:val="008D62FC"/>
    <w:rsid w:val="008F257B"/>
    <w:rsid w:val="008F46D8"/>
    <w:rsid w:val="008F4F31"/>
    <w:rsid w:val="008F740C"/>
    <w:rsid w:val="00900790"/>
    <w:rsid w:val="0090145D"/>
    <w:rsid w:val="00901C19"/>
    <w:rsid w:val="0091794F"/>
    <w:rsid w:val="0091797C"/>
    <w:rsid w:val="009214FA"/>
    <w:rsid w:val="00923695"/>
    <w:rsid w:val="00925768"/>
    <w:rsid w:val="009332D0"/>
    <w:rsid w:val="00934373"/>
    <w:rsid w:val="00934498"/>
    <w:rsid w:val="00936823"/>
    <w:rsid w:val="00940E8C"/>
    <w:rsid w:val="009454A1"/>
    <w:rsid w:val="00946980"/>
    <w:rsid w:val="009508C4"/>
    <w:rsid w:val="00951486"/>
    <w:rsid w:val="00952615"/>
    <w:rsid w:val="009534FD"/>
    <w:rsid w:val="00960C53"/>
    <w:rsid w:val="009643CF"/>
    <w:rsid w:val="00965760"/>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1BDA"/>
    <w:rsid w:val="009B401A"/>
    <w:rsid w:val="009B5CF3"/>
    <w:rsid w:val="009C02A4"/>
    <w:rsid w:val="009C0896"/>
    <w:rsid w:val="009C2E09"/>
    <w:rsid w:val="009C3AC4"/>
    <w:rsid w:val="009C5951"/>
    <w:rsid w:val="009D0019"/>
    <w:rsid w:val="009D148E"/>
    <w:rsid w:val="009D3453"/>
    <w:rsid w:val="009D581C"/>
    <w:rsid w:val="009D6170"/>
    <w:rsid w:val="009D6C84"/>
    <w:rsid w:val="009E04D0"/>
    <w:rsid w:val="009E3567"/>
    <w:rsid w:val="009F103E"/>
    <w:rsid w:val="009F1F66"/>
    <w:rsid w:val="009F61E8"/>
    <w:rsid w:val="009F6748"/>
    <w:rsid w:val="00A012CC"/>
    <w:rsid w:val="00A0324C"/>
    <w:rsid w:val="00A05FBA"/>
    <w:rsid w:val="00A11B0D"/>
    <w:rsid w:val="00A13211"/>
    <w:rsid w:val="00A13369"/>
    <w:rsid w:val="00A13D12"/>
    <w:rsid w:val="00A228F2"/>
    <w:rsid w:val="00A2563A"/>
    <w:rsid w:val="00A31072"/>
    <w:rsid w:val="00A32139"/>
    <w:rsid w:val="00A32E59"/>
    <w:rsid w:val="00A34460"/>
    <w:rsid w:val="00A40862"/>
    <w:rsid w:val="00A44686"/>
    <w:rsid w:val="00A4794F"/>
    <w:rsid w:val="00A515F8"/>
    <w:rsid w:val="00A54827"/>
    <w:rsid w:val="00A55FA0"/>
    <w:rsid w:val="00A56590"/>
    <w:rsid w:val="00A56C62"/>
    <w:rsid w:val="00A627A8"/>
    <w:rsid w:val="00A64BE4"/>
    <w:rsid w:val="00A672CC"/>
    <w:rsid w:val="00A70626"/>
    <w:rsid w:val="00A76299"/>
    <w:rsid w:val="00A80E92"/>
    <w:rsid w:val="00A87157"/>
    <w:rsid w:val="00A87D5A"/>
    <w:rsid w:val="00A92BDB"/>
    <w:rsid w:val="00A92FFC"/>
    <w:rsid w:val="00A93CC7"/>
    <w:rsid w:val="00AA32CF"/>
    <w:rsid w:val="00AB0B4A"/>
    <w:rsid w:val="00AB4900"/>
    <w:rsid w:val="00AB52B1"/>
    <w:rsid w:val="00AC05F8"/>
    <w:rsid w:val="00AC1770"/>
    <w:rsid w:val="00AC1F56"/>
    <w:rsid w:val="00AC2FD5"/>
    <w:rsid w:val="00AC446A"/>
    <w:rsid w:val="00AC6F06"/>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4B71"/>
    <w:rsid w:val="00B1795C"/>
    <w:rsid w:val="00B206C2"/>
    <w:rsid w:val="00B207C0"/>
    <w:rsid w:val="00B22235"/>
    <w:rsid w:val="00B25279"/>
    <w:rsid w:val="00B26BE5"/>
    <w:rsid w:val="00B37FD8"/>
    <w:rsid w:val="00B4109B"/>
    <w:rsid w:val="00B41AB9"/>
    <w:rsid w:val="00B4343B"/>
    <w:rsid w:val="00B44B9E"/>
    <w:rsid w:val="00B461E9"/>
    <w:rsid w:val="00B47AFF"/>
    <w:rsid w:val="00B501CE"/>
    <w:rsid w:val="00B518E8"/>
    <w:rsid w:val="00B53739"/>
    <w:rsid w:val="00B57C00"/>
    <w:rsid w:val="00B6201B"/>
    <w:rsid w:val="00B667BB"/>
    <w:rsid w:val="00B7447D"/>
    <w:rsid w:val="00B762FB"/>
    <w:rsid w:val="00B80932"/>
    <w:rsid w:val="00B827EA"/>
    <w:rsid w:val="00B82FCB"/>
    <w:rsid w:val="00B833C5"/>
    <w:rsid w:val="00B94C7C"/>
    <w:rsid w:val="00B95781"/>
    <w:rsid w:val="00BA75E7"/>
    <w:rsid w:val="00BB1C48"/>
    <w:rsid w:val="00BB1FC6"/>
    <w:rsid w:val="00BB357B"/>
    <w:rsid w:val="00BB43DD"/>
    <w:rsid w:val="00BB5B92"/>
    <w:rsid w:val="00BB6BEE"/>
    <w:rsid w:val="00BC5C56"/>
    <w:rsid w:val="00BC6F9B"/>
    <w:rsid w:val="00BC764C"/>
    <w:rsid w:val="00BD1B8D"/>
    <w:rsid w:val="00BD668E"/>
    <w:rsid w:val="00BE01AE"/>
    <w:rsid w:val="00BE0EF1"/>
    <w:rsid w:val="00BE1A8D"/>
    <w:rsid w:val="00BE21C2"/>
    <w:rsid w:val="00BE22A5"/>
    <w:rsid w:val="00BE29C5"/>
    <w:rsid w:val="00BE33CB"/>
    <w:rsid w:val="00BE3A2B"/>
    <w:rsid w:val="00BE4F21"/>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0D4C"/>
    <w:rsid w:val="00C31FCB"/>
    <w:rsid w:val="00C34E12"/>
    <w:rsid w:val="00C36A1A"/>
    <w:rsid w:val="00C40379"/>
    <w:rsid w:val="00C4084A"/>
    <w:rsid w:val="00C447DC"/>
    <w:rsid w:val="00C45B99"/>
    <w:rsid w:val="00C46038"/>
    <w:rsid w:val="00C465E4"/>
    <w:rsid w:val="00C46964"/>
    <w:rsid w:val="00C4770C"/>
    <w:rsid w:val="00C506B3"/>
    <w:rsid w:val="00C52D7E"/>
    <w:rsid w:val="00C61E16"/>
    <w:rsid w:val="00C62E10"/>
    <w:rsid w:val="00C64FBD"/>
    <w:rsid w:val="00C6645F"/>
    <w:rsid w:val="00C72D3B"/>
    <w:rsid w:val="00C77D7E"/>
    <w:rsid w:val="00C77EFB"/>
    <w:rsid w:val="00C82F36"/>
    <w:rsid w:val="00C836DE"/>
    <w:rsid w:val="00C83715"/>
    <w:rsid w:val="00C83CA8"/>
    <w:rsid w:val="00C976B1"/>
    <w:rsid w:val="00CA2221"/>
    <w:rsid w:val="00CA4D65"/>
    <w:rsid w:val="00CA539A"/>
    <w:rsid w:val="00CA6A31"/>
    <w:rsid w:val="00CB0BDF"/>
    <w:rsid w:val="00CB0F93"/>
    <w:rsid w:val="00CB11C8"/>
    <w:rsid w:val="00CB217B"/>
    <w:rsid w:val="00CB5760"/>
    <w:rsid w:val="00CB5E6D"/>
    <w:rsid w:val="00CB6427"/>
    <w:rsid w:val="00CC3FB2"/>
    <w:rsid w:val="00CC4E66"/>
    <w:rsid w:val="00CD7752"/>
    <w:rsid w:val="00CE0914"/>
    <w:rsid w:val="00CE1FC7"/>
    <w:rsid w:val="00CE2469"/>
    <w:rsid w:val="00CE2903"/>
    <w:rsid w:val="00CF397F"/>
    <w:rsid w:val="00CF3FA0"/>
    <w:rsid w:val="00CF582A"/>
    <w:rsid w:val="00CF5A0D"/>
    <w:rsid w:val="00D019BD"/>
    <w:rsid w:val="00D05A1C"/>
    <w:rsid w:val="00D0619B"/>
    <w:rsid w:val="00D073FF"/>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14F5"/>
    <w:rsid w:val="00D41FF6"/>
    <w:rsid w:val="00D4272D"/>
    <w:rsid w:val="00D501D7"/>
    <w:rsid w:val="00D50AFD"/>
    <w:rsid w:val="00D50E6F"/>
    <w:rsid w:val="00D51152"/>
    <w:rsid w:val="00D5464B"/>
    <w:rsid w:val="00D54653"/>
    <w:rsid w:val="00D5670A"/>
    <w:rsid w:val="00D56EEF"/>
    <w:rsid w:val="00D61228"/>
    <w:rsid w:val="00D62434"/>
    <w:rsid w:val="00D628CE"/>
    <w:rsid w:val="00D646B4"/>
    <w:rsid w:val="00D66DC0"/>
    <w:rsid w:val="00D701D5"/>
    <w:rsid w:val="00D75043"/>
    <w:rsid w:val="00D75BE1"/>
    <w:rsid w:val="00D76BBF"/>
    <w:rsid w:val="00D76D22"/>
    <w:rsid w:val="00D8187C"/>
    <w:rsid w:val="00D833E9"/>
    <w:rsid w:val="00D97176"/>
    <w:rsid w:val="00D97DE9"/>
    <w:rsid w:val="00DA1668"/>
    <w:rsid w:val="00DA2330"/>
    <w:rsid w:val="00DA5E9F"/>
    <w:rsid w:val="00DB0C02"/>
    <w:rsid w:val="00DB0DB8"/>
    <w:rsid w:val="00DB112F"/>
    <w:rsid w:val="00DB2D1A"/>
    <w:rsid w:val="00DB6B23"/>
    <w:rsid w:val="00DC5071"/>
    <w:rsid w:val="00DC649A"/>
    <w:rsid w:val="00DC6BE8"/>
    <w:rsid w:val="00DC7120"/>
    <w:rsid w:val="00DC732C"/>
    <w:rsid w:val="00DD1FBB"/>
    <w:rsid w:val="00DD46B2"/>
    <w:rsid w:val="00DD4FB4"/>
    <w:rsid w:val="00DD75AC"/>
    <w:rsid w:val="00DE12ED"/>
    <w:rsid w:val="00DE641B"/>
    <w:rsid w:val="00DF4208"/>
    <w:rsid w:val="00DF516E"/>
    <w:rsid w:val="00E01B21"/>
    <w:rsid w:val="00E03BF3"/>
    <w:rsid w:val="00E0446C"/>
    <w:rsid w:val="00E060F3"/>
    <w:rsid w:val="00E12297"/>
    <w:rsid w:val="00E21337"/>
    <w:rsid w:val="00E23DB5"/>
    <w:rsid w:val="00E31FC7"/>
    <w:rsid w:val="00E34981"/>
    <w:rsid w:val="00E4006F"/>
    <w:rsid w:val="00E40070"/>
    <w:rsid w:val="00E4013C"/>
    <w:rsid w:val="00E41F99"/>
    <w:rsid w:val="00E422BE"/>
    <w:rsid w:val="00E42B65"/>
    <w:rsid w:val="00E45789"/>
    <w:rsid w:val="00E45B7C"/>
    <w:rsid w:val="00E50484"/>
    <w:rsid w:val="00E52BDA"/>
    <w:rsid w:val="00E5367F"/>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6433"/>
    <w:rsid w:val="00F11073"/>
    <w:rsid w:val="00F11108"/>
    <w:rsid w:val="00F14F9F"/>
    <w:rsid w:val="00F15007"/>
    <w:rsid w:val="00F225BF"/>
    <w:rsid w:val="00F24A3E"/>
    <w:rsid w:val="00F24B4E"/>
    <w:rsid w:val="00F2575E"/>
    <w:rsid w:val="00F25B46"/>
    <w:rsid w:val="00F25E1F"/>
    <w:rsid w:val="00F2613C"/>
    <w:rsid w:val="00F323B8"/>
    <w:rsid w:val="00F342A6"/>
    <w:rsid w:val="00F36784"/>
    <w:rsid w:val="00F42088"/>
    <w:rsid w:val="00F42F31"/>
    <w:rsid w:val="00F4525D"/>
    <w:rsid w:val="00F45B1D"/>
    <w:rsid w:val="00F4655B"/>
    <w:rsid w:val="00F465C9"/>
    <w:rsid w:val="00F4710A"/>
    <w:rsid w:val="00F64916"/>
    <w:rsid w:val="00F64A27"/>
    <w:rsid w:val="00F67A7B"/>
    <w:rsid w:val="00F71DE8"/>
    <w:rsid w:val="00F74CDB"/>
    <w:rsid w:val="00F75A8B"/>
    <w:rsid w:val="00F76325"/>
    <w:rsid w:val="00F77B01"/>
    <w:rsid w:val="00F85A92"/>
    <w:rsid w:val="00F910CD"/>
    <w:rsid w:val="00F912E8"/>
    <w:rsid w:val="00F918CA"/>
    <w:rsid w:val="00F91B70"/>
    <w:rsid w:val="00F94CDD"/>
    <w:rsid w:val="00F95B12"/>
    <w:rsid w:val="00FA0164"/>
    <w:rsid w:val="00FA1987"/>
    <w:rsid w:val="00FA2F31"/>
    <w:rsid w:val="00FB0643"/>
    <w:rsid w:val="00FB3F10"/>
    <w:rsid w:val="00FB6E35"/>
    <w:rsid w:val="00FC0416"/>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aliases w:val="Normal bullet 2 Знак"/>
    <w:link w:val="a3"/>
    <w:uiPriority w:val="34"/>
    <w:locked/>
    <w:rsid w:val="003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2F7EC-9E0C-4A34-8F16-D2D0DFBE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4057</Words>
  <Characters>2314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2024-10-04T09:15:00Z</dcterms:created>
  <dcterms:modified xsi:type="dcterms:W3CDTF">2024-10-04T09:15:00Z</dcterms:modified>
</cp:coreProperties>
</file>