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7BB79326"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Особливості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0C0794D8" w:rsidR="00B44B9E" w:rsidRPr="003B2FA3" w:rsidRDefault="00B44B9E"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 xml:space="preserve">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C7744B8"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3044А, 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20A3DE38"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1234AC1"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 xml:space="preserve">3044А, </w:t>
      </w:r>
      <w:r w:rsidRPr="00254D01">
        <w:rPr>
          <w:rFonts w:ascii="Times New Roman" w:eastAsia="Times New Roman" w:hAnsi="Times New Roman" w:cs="Times New Roman"/>
          <w:bCs/>
          <w:sz w:val="28"/>
          <w:szCs w:val="28"/>
          <w:lang w:eastAsia="uk-UA"/>
        </w:rPr>
        <w:lastRenderedPageBreak/>
        <w:t>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52AEFD5D"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012D38C5"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4D2B5290"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458BB40"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6EB0158F" w14:textId="77777777" w:rsidR="00254D01" w:rsidRDefault="00254D01" w:rsidP="00832BE7">
      <w:pPr>
        <w:spacing w:after="0" w:line="240" w:lineRule="auto"/>
        <w:ind w:firstLine="709"/>
        <w:jc w:val="center"/>
        <w:rPr>
          <w:rFonts w:ascii="Times New Roman" w:eastAsia="Times New Roman" w:hAnsi="Times New Roman" w:cs="Times New Roman"/>
          <w:b/>
          <w:sz w:val="28"/>
          <w:szCs w:val="28"/>
          <w:u w:val="single"/>
          <w:lang w:eastAsia="uk-UA"/>
        </w:rPr>
      </w:pPr>
    </w:p>
    <w:p w14:paraId="04505DAF" w14:textId="55338DCB"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w:t>
      </w:r>
      <w:r w:rsidRPr="003E620F">
        <w:rPr>
          <w:rFonts w:ascii="Times New Roman" w:eastAsia="Times New Roman" w:hAnsi="Times New Roman" w:cs="Times New Roman"/>
          <w:bCs/>
          <w:sz w:val="28"/>
          <w:szCs w:val="28"/>
          <w:lang w:eastAsia="uk-UA"/>
        </w:rPr>
        <w:lastRenderedPageBreak/>
        <w:t>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0F9D5BCB"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3668179C"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102D84B0"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12F1B569"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довгі (неузгоджені, виходячи з вимог Додатку 3 до Положення № 162) ризик-позиції, визначені за інструментами, включеними до показників </w:t>
      </w:r>
      <w:r w:rsidRPr="003B2FA3">
        <w:rPr>
          <w:rFonts w:ascii="Times New Roman" w:eastAsia="Times New Roman" w:hAnsi="Times New Roman" w:cs="Times New Roman"/>
          <w:bCs/>
          <w:sz w:val="28"/>
          <w:szCs w:val="28"/>
          <w:lang w:eastAsia="uk-UA"/>
        </w:rPr>
        <w:lastRenderedPageBreak/>
        <w:t>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C07622B" w14:textId="77777777" w:rsidR="0097375F" w:rsidRDefault="0097375F"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24F68E8C" w14:textId="4B8F14EB"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7EE9AD43"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A7S011 “Відкрит</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1811E125"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A7S012 “Відкрит</w:t>
      </w:r>
      <w:r w:rsidR="00E358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1EC950EF"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2BE605D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61279916"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34EE9FA3"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50BC99E0"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583FA69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довг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63CF7436"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коротк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47B27D6"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4B0A6F62"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BAF802D"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0B5235A1"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0F183354"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9369П,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788935D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10295A8E"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62D78AD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A7S105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6CE347E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A7S106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607911AB"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A7S107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7FAE46A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A7S108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4E37E1A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050A395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1532А, 1535АП, 1536АП, 1538А, 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Pr="003B2FA3">
        <w:rPr>
          <w:rFonts w:ascii="Times New Roman" w:eastAsia="Times New Roman" w:hAnsi="Times New Roman" w:cs="Times New Roman"/>
          <w:bCs/>
          <w:sz w:val="28"/>
          <w:szCs w:val="28"/>
          <w:lang w:eastAsia="uk-UA"/>
        </w:rPr>
        <w:lastRenderedPageBreak/>
        <w:t>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57105405"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0AE4793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 довгі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1A782698"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коротк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13900F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13791B9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7CCE04F3"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7A894886" w14:textId="7FB0474B"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645BA83D"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089CB3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274F6F8E"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49EA215" w14:textId="31665DAB" w:rsidR="007D47B5"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позабалансовими рахунками 9000А, 9001А, 9002А, 9003А, 9100А, 9122А, 9129А, 9200А, 9300А, 9350А, 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5A868D9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471A4F93" w14:textId="77777777" w:rsidR="0086396C" w:rsidRPr="0086396C" w:rsidRDefault="0086396C" w:rsidP="0086396C">
      <w:pPr>
        <w:ind w:firstLine="709"/>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Зазначаються відповідні ризик-позиції, що обліковуються за балансовими</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позабалансовими рахунками</w:t>
      </w:r>
      <w:r w:rsidRPr="0086396C">
        <w:rPr>
          <w:rFonts w:ascii="Times New Roman" w:eastAsia="Times New Roman" w:hAnsi="Times New Roman" w:cs="Times New Roman"/>
          <w:b/>
          <w:bCs/>
          <w:sz w:val="28"/>
          <w:szCs w:val="28"/>
          <w:lang w:eastAsia="ru-RU"/>
        </w:rPr>
        <w:t>:</w:t>
      </w:r>
    </w:p>
    <w:p w14:paraId="576B9EA8" w14:textId="77777777" w:rsidR="0086396C" w:rsidRPr="0086396C" w:rsidRDefault="0086396C" w:rsidP="0086396C">
      <w:pPr>
        <w:ind w:firstLine="709"/>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3690П, 3692П, в частині резервів за інструментами, включеними до показника A7S203;</w:t>
      </w:r>
    </w:p>
    <w:p w14:paraId="56B26E38" w14:textId="0190CF8C" w:rsidR="0086396C" w:rsidRPr="0086396C" w:rsidRDefault="00EA5FB0" w:rsidP="0086396C">
      <w:pPr>
        <w:jc w:val="both"/>
        <w:rPr>
          <w:b/>
          <w:sz w:val="28"/>
          <w:szCs w:val="28"/>
        </w:rPr>
      </w:pPr>
      <w:r w:rsidRPr="00EA5FB0">
        <w:rPr>
          <w:rFonts w:ascii="Times New Roman" w:eastAsia="Times New Roman" w:hAnsi="Times New Roman" w:cs="Times New Roman"/>
          <w:bCs/>
          <w:sz w:val="28"/>
          <w:szCs w:val="28"/>
          <w:lang w:val="ru-RU" w:eastAsia="ru-RU"/>
        </w:rPr>
        <w:t xml:space="preserve">           </w:t>
      </w:r>
      <w:r w:rsidR="0086396C" w:rsidRPr="0086396C">
        <w:rPr>
          <w:rFonts w:ascii="Times New Roman" w:eastAsia="Times New Roman" w:hAnsi="Times New Roman" w:cs="Times New Roman"/>
          <w:bCs/>
          <w:sz w:val="28"/>
          <w:szCs w:val="28"/>
          <w:lang w:eastAsia="ru-RU"/>
        </w:rPr>
        <w:t>9210П, 9310П, 9360П, з дотриманням умов включення інструментів до розрахунку валютного ризику, визначених у пункті 30 розділу IV Положення № 162.</w:t>
      </w:r>
    </w:p>
    <w:p w14:paraId="7C0CC5FB" w14:textId="62F1061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665DD557"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7C0CAB99"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57E2379B" w14:textId="77777777" w:rsidR="0086396C" w:rsidRPr="0086396C" w:rsidRDefault="0086396C" w:rsidP="00567561">
      <w:pPr>
        <w:ind w:firstLine="708"/>
        <w:contextualSpacing/>
        <w:jc w:val="both"/>
        <w:rPr>
          <w:rFonts w:ascii="Times New Roman" w:eastAsia="Times New Roman" w:hAnsi="Times New Roman" w:cs="Times New Roman"/>
          <w:b/>
          <w:bCs/>
          <w:sz w:val="28"/>
          <w:szCs w:val="28"/>
          <w:lang w:eastAsia="ru-RU"/>
        </w:rPr>
      </w:pPr>
      <w:r w:rsidRPr="0086396C">
        <w:rPr>
          <w:rFonts w:ascii="Times New Roman" w:eastAsia="Times New Roman" w:hAnsi="Times New Roman" w:cs="Times New Roman"/>
          <w:bCs/>
          <w:sz w:val="28"/>
          <w:szCs w:val="28"/>
          <w:lang w:eastAsia="ru-RU"/>
        </w:rPr>
        <w:lastRenderedPageBreak/>
        <w:t>3690П, 3692П, крім пасивних залишків</w:t>
      </w:r>
      <w:r w:rsidRPr="0086396C">
        <w:rPr>
          <w:sz w:val="28"/>
          <w:szCs w:val="28"/>
        </w:rPr>
        <w:t xml:space="preserve"> </w:t>
      </w:r>
      <w:r w:rsidRPr="0086396C">
        <w:rPr>
          <w:rFonts w:ascii="Times New Roman" w:eastAsia="Times New Roman" w:hAnsi="Times New Roman" w:cs="Times New Roman"/>
          <w:bCs/>
          <w:sz w:val="28"/>
          <w:szCs w:val="28"/>
          <w:lang w:eastAsia="ru-RU"/>
        </w:rPr>
        <w:t>за цими рахунками, які включені до показника A7S204</w:t>
      </w:r>
      <w:r w:rsidRPr="0086396C">
        <w:rPr>
          <w:rFonts w:ascii="Times New Roman" w:eastAsia="Times New Roman" w:hAnsi="Times New Roman" w:cs="Times New Roman"/>
          <w:b/>
          <w:bCs/>
          <w:sz w:val="28"/>
          <w:szCs w:val="28"/>
          <w:lang w:eastAsia="ru-RU"/>
        </w:rPr>
        <w:t>;</w:t>
      </w:r>
    </w:p>
    <w:p w14:paraId="1C7C0E8D" w14:textId="77777777" w:rsidR="0086396C" w:rsidRPr="0086396C" w:rsidRDefault="0086396C" w:rsidP="00567561">
      <w:pPr>
        <w:ind w:firstLine="708"/>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1500П, 1507П, 2920П, 2924П, 3699П</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 xml:space="preserve"> 3705П, 3706П, 3739П, 3900П, 3901П, 3903П, 3905П, 3907П, 3929П,</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5CA8D52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715A0B2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68711050"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68DE5E4B" w14:textId="5067A994"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валютного ризику, визначений згідно з вимогами розділу ІV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1012751D"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03FF059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63923095" w:rsidR="00766B8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A5EB5B8" w14:textId="1E6E3BC6" w:rsidR="0086396C" w:rsidRPr="0086396C" w:rsidRDefault="0086396C"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86396C">
        <w:rPr>
          <w:rFonts w:ascii="Times New Roman" w:eastAsia="Times New Roman" w:hAnsi="Times New Roman" w:cs="Times New Roman"/>
          <w:bCs/>
          <w:sz w:val="28"/>
          <w:szCs w:val="28"/>
          <w:lang w:eastAsia="ru-RU"/>
        </w:rPr>
        <w:t>Розмір гама-ризику передається по модулю (додатнім числом).</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4E40EA9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1A90944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0151FC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lastRenderedPageBreak/>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7C23540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4FEC306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15E4385C"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lastRenderedPageBreak/>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4E9810C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1D0BB00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D4F8BF3"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lastRenderedPageBreak/>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5B5947A4"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2504C8E7"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405CEFB"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6E1EEBE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90B547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25F603E6"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2739DB59"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3AD09AD4"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2B865EF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442A4358"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04A88D61"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488D545D"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656C1EEB"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780E76C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395C46D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159D835D"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687B40F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13E05B64" w14:textId="77777777" w:rsidR="00F5740B" w:rsidRDefault="00F5740B"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44922058" w14:textId="359E7E95"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4EC7DB23"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DC3B68"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77777777" w:rsidR="00EB1B37" w:rsidRPr="003B2FA3"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31AB5D3B"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16545" w14:textId="77777777" w:rsidR="007750C2" w:rsidRDefault="007750C2" w:rsidP="00E01B21">
      <w:pPr>
        <w:spacing w:after="0" w:line="240" w:lineRule="auto"/>
      </w:pPr>
      <w:r>
        <w:separator/>
      </w:r>
    </w:p>
  </w:endnote>
  <w:endnote w:type="continuationSeparator" w:id="0">
    <w:p w14:paraId="10E7FCEA" w14:textId="77777777" w:rsidR="007750C2" w:rsidRDefault="007750C2"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4622" w14:textId="77777777" w:rsidR="007750C2" w:rsidRDefault="007750C2" w:rsidP="00E01B21">
      <w:pPr>
        <w:spacing w:after="0" w:line="240" w:lineRule="auto"/>
      </w:pPr>
      <w:r>
        <w:separator/>
      </w:r>
    </w:p>
  </w:footnote>
  <w:footnote w:type="continuationSeparator" w:id="0">
    <w:p w14:paraId="4EA67DC3" w14:textId="77777777" w:rsidR="007750C2" w:rsidRDefault="007750C2"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C70EF"/>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1BAE"/>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D01"/>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344C"/>
    <w:rsid w:val="00334EBB"/>
    <w:rsid w:val="00334FE2"/>
    <w:rsid w:val="00335927"/>
    <w:rsid w:val="0033665F"/>
    <w:rsid w:val="003411A6"/>
    <w:rsid w:val="00342683"/>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08F1"/>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00F"/>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56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401B"/>
    <w:rsid w:val="00695DBA"/>
    <w:rsid w:val="00696E92"/>
    <w:rsid w:val="006B21F1"/>
    <w:rsid w:val="006B5C6E"/>
    <w:rsid w:val="006B7190"/>
    <w:rsid w:val="006C0373"/>
    <w:rsid w:val="006C0467"/>
    <w:rsid w:val="006C12DC"/>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6F99"/>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750C2"/>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396C"/>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375F"/>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19B2"/>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A5FB0"/>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5740B"/>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C528E"/>
    <w:rsid w:val="00FD0E4A"/>
    <w:rsid w:val="00FD2EE5"/>
    <w:rsid w:val="00FD3245"/>
    <w:rsid w:val="00FD56E7"/>
    <w:rsid w:val="00FD6787"/>
    <w:rsid w:val="00FE0B75"/>
    <w:rsid w:val="00FE1CD8"/>
    <w:rsid w:val="00FE2CF3"/>
    <w:rsid w:val="00FE4382"/>
    <w:rsid w:val="00FE5070"/>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4742-560D-4C04-A803-97D10287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30122</Words>
  <Characters>17170</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2024-10-04T07:02:00Z</dcterms:created>
  <dcterms:modified xsi:type="dcterms:W3CDTF">2024-10-04T07:02:00Z</dcterms:modified>
</cp:coreProperties>
</file>