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9D" w:rsidRPr="002C3737" w:rsidRDefault="0095559D" w:rsidP="00EC38C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r w:rsidRPr="002C3737">
        <w:rPr>
          <w:rFonts w:ascii="Times New Roman" w:eastAsia="Times New Roman" w:hAnsi="Times New Roman" w:cs="Times New Roman"/>
          <w:b/>
          <w:sz w:val="28"/>
          <w:szCs w:val="28"/>
          <w:u w:val="single"/>
          <w:lang w:eastAsia="uk-UA"/>
        </w:rPr>
        <w:t>Особливості формування показників файла звітності F4X (пояснення)</w:t>
      </w:r>
    </w:p>
    <w:p w:rsidR="008B073B" w:rsidRPr="002C3737" w:rsidRDefault="008B073B" w:rsidP="00EC38CA">
      <w:pPr>
        <w:tabs>
          <w:tab w:val="left" w:pos="1134"/>
        </w:tabs>
        <w:spacing w:after="0" w:line="240" w:lineRule="auto"/>
        <w:ind w:firstLine="567"/>
        <w:jc w:val="both"/>
        <w:rPr>
          <w:rFonts w:ascii="Times New Roman" w:eastAsia="Times New Roman" w:hAnsi="Times New Roman" w:cs="Times New Roman"/>
          <w:b/>
          <w:sz w:val="28"/>
          <w:szCs w:val="28"/>
          <w:lang w:eastAsia="uk-UA"/>
        </w:rPr>
      </w:pPr>
    </w:p>
    <w:p w:rsidR="00EC38CA" w:rsidRPr="002C3737" w:rsidRDefault="00EC38CA"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Дані файлу F4X використовуються Національним банком України для складання показників грошово-кредитної (монетарної) та фінансової статистики щодо процентних ставок за кредитами та депозитами, а також для аналізу ефективності трансмісійного механізму грошово-кредитної політики та з метою приведення індикаторів грошового і валютного ринків України у відповідність до принципів,  викладених у документі Міжнародної організації комісій з цінних паперів (IOSCO): Principles for Financial Benchmarks Final Report July 2013.</w:t>
      </w:r>
    </w:p>
    <w:p w:rsidR="00683AD5" w:rsidRPr="002C3737" w:rsidRDefault="00683AD5" w:rsidP="00EC38CA">
      <w:pPr>
        <w:tabs>
          <w:tab w:val="left" w:pos="1134"/>
        </w:tabs>
        <w:spacing w:after="0" w:line="240" w:lineRule="auto"/>
        <w:ind w:firstLine="567"/>
        <w:jc w:val="both"/>
        <w:rPr>
          <w:rFonts w:ascii="Times New Roman" w:hAnsi="Times New Roman" w:cs="Times New Roman"/>
          <w:sz w:val="28"/>
          <w:szCs w:val="28"/>
        </w:rPr>
      </w:pPr>
    </w:p>
    <w:p w:rsidR="00683AD5" w:rsidRPr="002C3737" w:rsidRDefault="00683AD5" w:rsidP="00EC38CA">
      <w:pPr>
        <w:pStyle w:val="a3"/>
        <w:numPr>
          <w:ilvl w:val="0"/>
          <w:numId w:val="9"/>
        </w:numPr>
        <w:tabs>
          <w:tab w:val="left" w:pos="1134"/>
        </w:tabs>
        <w:spacing w:after="0" w:line="240" w:lineRule="auto"/>
        <w:ind w:left="0" w:firstLine="567"/>
        <w:jc w:val="both"/>
        <w:rPr>
          <w:rFonts w:ascii="Times New Roman" w:hAnsi="Times New Roman" w:cs="Times New Roman"/>
          <w:sz w:val="28"/>
          <w:szCs w:val="28"/>
        </w:rPr>
      </w:pPr>
      <w:r w:rsidRPr="002C3737">
        <w:rPr>
          <w:rFonts w:ascii="Times New Roman" w:hAnsi="Times New Roman" w:cs="Times New Roman"/>
          <w:sz w:val="28"/>
          <w:szCs w:val="28"/>
        </w:rPr>
        <w:t xml:space="preserve">Дані у файлі </w:t>
      </w:r>
      <w:r w:rsidRPr="002C3737">
        <w:rPr>
          <w:rFonts w:ascii="Times New Roman" w:hAnsi="Times New Roman" w:cs="Times New Roman"/>
          <w:sz w:val="28"/>
          <w:szCs w:val="28"/>
          <w:lang w:val="en-US"/>
        </w:rPr>
        <w:t>F</w:t>
      </w:r>
      <w:r w:rsidRPr="002C3737">
        <w:rPr>
          <w:rFonts w:ascii="Times New Roman" w:hAnsi="Times New Roman" w:cs="Times New Roman"/>
          <w:sz w:val="28"/>
          <w:szCs w:val="28"/>
          <w:lang w:val="ru-RU"/>
        </w:rPr>
        <w:t>4</w:t>
      </w:r>
      <w:r w:rsidRPr="002C3737">
        <w:rPr>
          <w:rFonts w:ascii="Times New Roman" w:hAnsi="Times New Roman" w:cs="Times New Roman"/>
          <w:sz w:val="28"/>
          <w:szCs w:val="28"/>
        </w:rPr>
        <w:t>X збираються за показниками:</w:t>
      </w:r>
    </w:p>
    <w:p w:rsidR="00683AD5" w:rsidRPr="002C373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AF43F4 </w:t>
      </w:r>
      <w:r w:rsidRPr="002C3737">
        <w:rPr>
          <w:rFonts w:ascii="Times New Roman" w:eastAsia="Times New Roman" w:hAnsi="Times New Roman" w:cs="Times New Roman"/>
          <w:sz w:val="28"/>
          <w:szCs w:val="28"/>
          <w:lang w:val="ru-RU" w:eastAsia="uk-UA"/>
        </w:rPr>
        <w:t>«</w:t>
      </w:r>
      <w:r w:rsidRPr="002C3737">
        <w:rPr>
          <w:rFonts w:ascii="Times New Roman" w:eastAsia="Times New Roman" w:hAnsi="Times New Roman" w:cs="Times New Roman"/>
          <w:sz w:val="28"/>
          <w:szCs w:val="28"/>
          <w:lang w:eastAsia="uk-UA"/>
        </w:rPr>
        <w:t>Сума та процентна ставка за рахунками кредитів із дебетовим оборотом</w:t>
      </w:r>
      <w:r w:rsidRPr="002C3737">
        <w:rPr>
          <w:rFonts w:ascii="Times New Roman" w:eastAsia="Times New Roman" w:hAnsi="Times New Roman" w:cs="Times New Roman"/>
          <w:sz w:val="28"/>
          <w:szCs w:val="28"/>
          <w:lang w:val="ru-RU" w:eastAsia="uk-UA"/>
        </w:rPr>
        <w:t>»</w:t>
      </w:r>
      <w:r w:rsidRPr="002C3737">
        <w:rPr>
          <w:rFonts w:ascii="Times New Roman" w:eastAsia="Times New Roman" w:hAnsi="Times New Roman" w:cs="Times New Roman"/>
          <w:sz w:val="28"/>
          <w:szCs w:val="28"/>
          <w:lang w:eastAsia="uk-UA"/>
        </w:rPr>
        <w:t>;</w:t>
      </w:r>
    </w:p>
    <w:p w:rsidR="00683AD5" w:rsidRPr="002C373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AF43F2</w:t>
      </w:r>
      <w:r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Сума та процентна ставка за рахунками депозитів із дебетовим оборотом»</w:t>
      </w:r>
      <w:r w:rsidRPr="002C3737">
        <w:rPr>
          <w:rFonts w:ascii="Times New Roman" w:eastAsia="Times New Roman" w:hAnsi="Times New Roman" w:cs="Times New Roman"/>
          <w:sz w:val="28"/>
          <w:szCs w:val="28"/>
          <w:lang w:val="ru-RU" w:eastAsia="uk-UA"/>
        </w:rPr>
        <w:t>;</w:t>
      </w:r>
    </w:p>
    <w:p w:rsidR="00683AD5" w:rsidRPr="002C373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AF44F2</w:t>
      </w:r>
      <w:r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Сума та процентна ставка за рахунками депозитів із кредитовим оборотом</w:t>
      </w:r>
      <w:r w:rsidRPr="002C3737">
        <w:rPr>
          <w:rFonts w:ascii="Times New Roman" w:eastAsia="Times New Roman" w:hAnsi="Times New Roman" w:cs="Times New Roman"/>
          <w:sz w:val="28"/>
          <w:szCs w:val="28"/>
          <w:lang w:val="ru-RU" w:eastAsia="uk-UA"/>
        </w:rPr>
        <w:t>».</w:t>
      </w:r>
    </w:p>
    <w:p w:rsidR="00683AD5" w:rsidRPr="002C373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p>
    <w:p w:rsidR="008B073B" w:rsidRPr="002C3737" w:rsidRDefault="008B073B"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Показники надаються у розрізах параметрів:</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T020 - елемент рахунку  (довідник T020);</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R020 - код рахунку (довідник R020);</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R030 - код валюти (довідник R030);</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K072 - код сектору економіки (узагальнений)</w:t>
      </w:r>
      <w:r w:rsidR="002B2455"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(довідник K072);</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K111 - код роздiлу виду економiчної дiяльностi</w:t>
      </w:r>
      <w:r w:rsidR="00201B90" w:rsidRPr="002C3737">
        <w:rPr>
          <w:rFonts w:ascii="Times New Roman" w:eastAsia="Times New Roman" w:hAnsi="Times New Roman" w:cs="Times New Roman"/>
          <w:sz w:val="28"/>
          <w:szCs w:val="28"/>
          <w:lang w:eastAsia="uk-UA"/>
        </w:rPr>
        <w:t xml:space="preserve"> </w:t>
      </w:r>
      <w:r w:rsidRPr="002C3737">
        <w:rPr>
          <w:rFonts w:ascii="Times New Roman" w:eastAsia="Times New Roman" w:hAnsi="Times New Roman" w:cs="Times New Roman"/>
          <w:sz w:val="28"/>
          <w:szCs w:val="28"/>
          <w:lang w:eastAsia="uk-UA"/>
        </w:rPr>
        <w:t>(довідник K111);</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K140 - </w:t>
      </w:r>
      <w:r w:rsidR="008F659A" w:rsidRPr="002C3737">
        <w:rPr>
          <w:rFonts w:ascii="Times New Roman" w:eastAsia="Times New Roman" w:hAnsi="Times New Roman" w:cs="Times New Roman"/>
          <w:sz w:val="28"/>
          <w:szCs w:val="28"/>
          <w:lang w:eastAsia="uk-UA"/>
        </w:rPr>
        <w:t>код ознаки розмі</w:t>
      </w:r>
      <w:r w:rsidR="00D46FF6">
        <w:rPr>
          <w:rFonts w:ascii="Times New Roman" w:eastAsia="Times New Roman" w:hAnsi="Times New Roman" w:cs="Times New Roman"/>
          <w:sz w:val="28"/>
          <w:szCs w:val="28"/>
          <w:lang w:eastAsia="uk-UA"/>
        </w:rPr>
        <w:t>ру підприємства (довідник K140)</w:t>
      </w:r>
      <w:r w:rsidRPr="002C3737">
        <w:rPr>
          <w:rFonts w:ascii="Times New Roman" w:eastAsia="Times New Roman" w:hAnsi="Times New Roman" w:cs="Times New Roman"/>
          <w:sz w:val="28"/>
          <w:szCs w:val="28"/>
          <w:lang w:eastAsia="uk-UA"/>
        </w:rPr>
        <w:t>;</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F074 - </w:t>
      </w:r>
      <w:r w:rsidR="008F659A" w:rsidRPr="002C3737">
        <w:rPr>
          <w:rFonts w:ascii="Times New Roman" w:eastAsia="Times New Roman" w:hAnsi="Times New Roman" w:cs="Times New Roman"/>
          <w:sz w:val="28"/>
          <w:szCs w:val="28"/>
          <w:lang w:eastAsia="uk-UA"/>
        </w:rPr>
        <w:t>коди належності контрагента/пов’язаної з банком особи до групи юридичних осіб під спільним контролем або до групи пов’язаних контрагентів (довідник F074). Для сум (обсягів) депозитів і процентних ставок за ними (показник AF44F2) параметр приймає значення "000"</w:t>
      </w:r>
      <w:r w:rsidRPr="002C3737">
        <w:rPr>
          <w:rFonts w:ascii="Times New Roman" w:eastAsia="Times New Roman" w:hAnsi="Times New Roman" w:cs="Times New Roman"/>
          <w:sz w:val="28"/>
          <w:szCs w:val="28"/>
          <w:lang w:eastAsia="uk-UA"/>
        </w:rPr>
        <w:t>;</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S180 - код початкового строку погашення</w:t>
      </w:r>
      <w:r w:rsidR="00201B90" w:rsidRPr="002C3737">
        <w:rPr>
          <w:rFonts w:ascii="Times New Roman" w:eastAsia="Times New Roman" w:hAnsi="Times New Roman" w:cs="Times New Roman"/>
          <w:sz w:val="28"/>
          <w:szCs w:val="28"/>
          <w:lang w:eastAsia="uk-UA"/>
        </w:rPr>
        <w:t xml:space="preserve"> </w:t>
      </w:r>
      <w:r w:rsidRPr="002C3737">
        <w:rPr>
          <w:rFonts w:ascii="Times New Roman" w:eastAsia="Times New Roman" w:hAnsi="Times New Roman" w:cs="Times New Roman"/>
          <w:sz w:val="28"/>
          <w:szCs w:val="28"/>
          <w:lang w:eastAsia="uk-UA"/>
        </w:rPr>
        <w:t>(довідник S180);</w:t>
      </w:r>
    </w:p>
    <w:p w:rsidR="008B073B"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D020 - код розподілу оборо</w:t>
      </w:r>
      <w:r w:rsidR="003047F2" w:rsidRPr="002C3737">
        <w:rPr>
          <w:rFonts w:ascii="Times New Roman" w:eastAsia="Times New Roman" w:hAnsi="Times New Roman" w:cs="Times New Roman"/>
          <w:sz w:val="28"/>
          <w:szCs w:val="28"/>
          <w:lang w:eastAsia="uk-UA"/>
        </w:rPr>
        <w:t>тів за рахунком (довідник D020)</w:t>
      </w:r>
      <w:r w:rsidR="003047F2" w:rsidRPr="002C3737">
        <w:rPr>
          <w:rFonts w:ascii="Times New Roman" w:eastAsia="Times New Roman" w:hAnsi="Times New Roman" w:cs="Times New Roman"/>
          <w:sz w:val="28"/>
          <w:szCs w:val="28"/>
          <w:lang w:val="ru-RU" w:eastAsia="uk-UA"/>
        </w:rPr>
        <w:t>;</w:t>
      </w:r>
    </w:p>
    <w:p w:rsidR="003047F2" w:rsidRPr="002C373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 xml:space="preserve">N048 - </w:t>
      </w:r>
      <w:r w:rsidR="00683AD5" w:rsidRPr="002C3737">
        <w:rPr>
          <w:rFonts w:ascii="Times New Roman" w:eastAsia="Times New Roman" w:hAnsi="Times New Roman" w:cs="Times New Roman"/>
          <w:sz w:val="28"/>
          <w:szCs w:val="28"/>
          <w:lang w:val="ru-RU" w:eastAsia="uk-UA"/>
        </w:rPr>
        <w:t>к</w:t>
      </w:r>
      <w:r w:rsidR="00683AD5" w:rsidRPr="002C3737">
        <w:rPr>
          <w:rFonts w:ascii="Times New Roman" w:eastAsia="Times New Roman" w:hAnsi="Times New Roman" w:cs="Times New Roman"/>
          <w:sz w:val="28"/>
          <w:szCs w:val="28"/>
          <w:lang w:eastAsia="uk-UA"/>
        </w:rPr>
        <w:t>од індексу, що використовується у формулі визначення змінюваної процентної ставки за договором</w:t>
      </w:r>
      <w:r w:rsidR="00683AD5" w:rsidRPr="002C3737">
        <w:rPr>
          <w:rFonts w:ascii="Times New Roman" w:eastAsia="Times New Roman" w:hAnsi="Times New Roman" w:cs="Times New Roman"/>
          <w:sz w:val="28"/>
          <w:szCs w:val="28"/>
          <w:lang w:val="ru-RU" w:eastAsia="uk-UA"/>
        </w:rPr>
        <w:t xml:space="preserve"> </w:t>
      </w:r>
      <w:r w:rsidR="00683AD5" w:rsidRPr="002C3737">
        <w:rPr>
          <w:rFonts w:ascii="Times New Roman" w:eastAsia="Times New Roman" w:hAnsi="Times New Roman" w:cs="Times New Roman"/>
          <w:sz w:val="28"/>
          <w:szCs w:val="28"/>
          <w:lang w:eastAsia="uk-UA"/>
        </w:rPr>
        <w:t xml:space="preserve">(довідник </w:t>
      </w:r>
      <w:r w:rsidR="00683AD5" w:rsidRPr="002C3737">
        <w:rPr>
          <w:rFonts w:ascii="Times New Roman" w:eastAsia="Times New Roman" w:hAnsi="Times New Roman" w:cs="Times New Roman"/>
          <w:sz w:val="28"/>
          <w:szCs w:val="28"/>
          <w:lang w:val="en-US" w:eastAsia="uk-UA"/>
        </w:rPr>
        <w:t>N</w:t>
      </w:r>
      <w:r w:rsidR="00683AD5" w:rsidRPr="002C3737">
        <w:rPr>
          <w:rFonts w:ascii="Times New Roman" w:eastAsia="Times New Roman" w:hAnsi="Times New Roman" w:cs="Times New Roman"/>
          <w:sz w:val="28"/>
          <w:szCs w:val="28"/>
          <w:lang w:val="ru-RU" w:eastAsia="uk-UA"/>
        </w:rPr>
        <w:t>048</w:t>
      </w:r>
      <w:r w:rsidR="00683AD5" w:rsidRPr="002C3737">
        <w:rPr>
          <w:rFonts w:ascii="Times New Roman" w:eastAsia="Times New Roman" w:hAnsi="Times New Roman" w:cs="Times New Roman"/>
          <w:sz w:val="28"/>
          <w:szCs w:val="28"/>
          <w:lang w:eastAsia="uk-UA"/>
        </w:rPr>
        <w:t>)</w:t>
      </w:r>
      <w:r w:rsidR="00683AD5" w:rsidRPr="002C3737">
        <w:rPr>
          <w:rFonts w:ascii="Times New Roman" w:eastAsia="Times New Roman" w:hAnsi="Times New Roman" w:cs="Times New Roman"/>
          <w:sz w:val="28"/>
          <w:szCs w:val="28"/>
          <w:lang w:val="ru-RU" w:eastAsia="uk-UA"/>
        </w:rPr>
        <w:t>;</w:t>
      </w:r>
    </w:p>
    <w:p w:rsidR="003047F2" w:rsidRPr="002C373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S032</w:t>
      </w:r>
      <w:r w:rsidRPr="002C3737">
        <w:rPr>
          <w:rFonts w:ascii="Times New Roman" w:eastAsia="Times New Roman" w:hAnsi="Times New Roman" w:cs="Times New Roman"/>
          <w:sz w:val="28"/>
          <w:szCs w:val="28"/>
          <w:lang w:val="ru-RU" w:eastAsia="uk-UA"/>
        </w:rPr>
        <w:t xml:space="preserve"> - </w:t>
      </w:r>
      <w:r w:rsidR="00683AD5" w:rsidRPr="002C3737">
        <w:rPr>
          <w:rFonts w:ascii="Times New Roman" w:eastAsia="Times New Roman" w:hAnsi="Times New Roman" w:cs="Times New Roman"/>
          <w:sz w:val="28"/>
          <w:szCs w:val="28"/>
          <w:lang w:eastAsia="uk-UA"/>
        </w:rPr>
        <w:t>коди видів забезпечення активу (узагальнені)</w:t>
      </w:r>
      <w:r w:rsidR="00C823DA" w:rsidRPr="002C3737">
        <w:rPr>
          <w:rFonts w:ascii="Times New Roman" w:eastAsia="Times New Roman" w:hAnsi="Times New Roman" w:cs="Times New Roman"/>
          <w:sz w:val="28"/>
          <w:szCs w:val="28"/>
          <w:lang w:val="ru-RU" w:eastAsia="uk-UA"/>
        </w:rPr>
        <w:t xml:space="preserve"> (</w:t>
      </w:r>
      <w:r w:rsidR="00C823DA" w:rsidRPr="002C3737">
        <w:rPr>
          <w:rFonts w:ascii="Times New Roman" w:eastAsia="Times New Roman" w:hAnsi="Times New Roman" w:cs="Times New Roman"/>
          <w:sz w:val="28"/>
          <w:szCs w:val="28"/>
          <w:lang w:eastAsia="uk-UA"/>
        </w:rPr>
        <w:t>довідник</w:t>
      </w:r>
      <w:r w:rsidR="00C823DA" w:rsidRPr="002C3737">
        <w:rPr>
          <w:rFonts w:ascii="Times New Roman" w:eastAsia="Times New Roman" w:hAnsi="Times New Roman" w:cs="Times New Roman"/>
          <w:sz w:val="28"/>
          <w:szCs w:val="28"/>
          <w:lang w:val="ru-RU" w:eastAsia="uk-UA"/>
        </w:rPr>
        <w:t xml:space="preserve"> </w:t>
      </w:r>
      <w:r w:rsidR="00C823DA" w:rsidRPr="002C3737">
        <w:rPr>
          <w:rFonts w:ascii="Times New Roman" w:eastAsia="Times New Roman" w:hAnsi="Times New Roman" w:cs="Times New Roman"/>
          <w:sz w:val="28"/>
          <w:szCs w:val="28"/>
          <w:lang w:eastAsia="uk-UA"/>
        </w:rPr>
        <w:t>S032</w:t>
      </w:r>
      <w:r w:rsidR="00C823DA" w:rsidRPr="002C3737">
        <w:rPr>
          <w:rFonts w:ascii="Times New Roman" w:eastAsia="Times New Roman" w:hAnsi="Times New Roman" w:cs="Times New Roman"/>
          <w:sz w:val="28"/>
          <w:szCs w:val="28"/>
          <w:lang w:val="ru-RU" w:eastAsia="uk-UA"/>
        </w:rPr>
        <w:t>)</w:t>
      </w:r>
      <w:r w:rsidR="00683AD5" w:rsidRPr="002C3737">
        <w:rPr>
          <w:rFonts w:ascii="Times New Roman" w:eastAsia="Times New Roman" w:hAnsi="Times New Roman" w:cs="Times New Roman"/>
          <w:sz w:val="28"/>
          <w:szCs w:val="28"/>
          <w:lang w:eastAsia="uk-UA"/>
        </w:rPr>
        <w:t>;</w:t>
      </w:r>
    </w:p>
    <w:p w:rsidR="001B4574" w:rsidRPr="002C373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S260</w:t>
      </w:r>
      <w:r w:rsidRPr="002C3737">
        <w:rPr>
          <w:rFonts w:ascii="Times New Roman" w:eastAsia="Times New Roman" w:hAnsi="Times New Roman" w:cs="Times New Roman"/>
          <w:sz w:val="28"/>
          <w:szCs w:val="28"/>
          <w:lang w:val="ru-RU" w:eastAsia="uk-UA"/>
        </w:rPr>
        <w:t xml:space="preserve"> - </w:t>
      </w:r>
      <w:r w:rsidR="00683AD5" w:rsidRPr="002C3737">
        <w:rPr>
          <w:rFonts w:ascii="Times New Roman" w:eastAsia="Times New Roman" w:hAnsi="Times New Roman" w:cs="Times New Roman"/>
          <w:sz w:val="28"/>
          <w:szCs w:val="28"/>
          <w:lang w:val="ru-RU" w:eastAsia="uk-UA"/>
        </w:rPr>
        <w:t>види кредитів за цільовим спрямуванням</w:t>
      </w:r>
      <w:r w:rsidR="00C823DA" w:rsidRPr="002C3737">
        <w:rPr>
          <w:rFonts w:ascii="Times New Roman" w:eastAsia="Times New Roman" w:hAnsi="Times New Roman" w:cs="Times New Roman"/>
          <w:sz w:val="28"/>
          <w:szCs w:val="28"/>
          <w:lang w:val="ru-RU" w:eastAsia="uk-UA"/>
        </w:rPr>
        <w:t xml:space="preserve"> </w:t>
      </w:r>
      <w:r w:rsidR="00C823DA" w:rsidRPr="002C3737">
        <w:rPr>
          <w:rFonts w:ascii="Times New Roman" w:eastAsia="Times New Roman" w:hAnsi="Times New Roman" w:cs="Times New Roman"/>
          <w:sz w:val="28"/>
          <w:szCs w:val="28"/>
          <w:lang w:eastAsia="uk-UA"/>
        </w:rPr>
        <w:t>(довідник S260)</w:t>
      </w:r>
      <w:r w:rsidR="00E72F89" w:rsidRPr="002C3737">
        <w:rPr>
          <w:rFonts w:ascii="Times New Roman" w:eastAsia="Times New Roman" w:hAnsi="Times New Roman" w:cs="Times New Roman"/>
          <w:sz w:val="28"/>
          <w:szCs w:val="28"/>
          <w:lang w:val="ru-RU" w:eastAsia="uk-UA"/>
        </w:rPr>
        <w:t>;</w:t>
      </w:r>
    </w:p>
    <w:p w:rsidR="00E72F89" w:rsidRPr="00C61D9C" w:rsidRDefault="000015DF" w:rsidP="00E72F89">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C61D9C">
        <w:rPr>
          <w:rFonts w:ascii="Times New Roman" w:eastAsia="Times New Roman" w:hAnsi="Times New Roman" w:cs="Times New Roman"/>
          <w:sz w:val="28"/>
          <w:szCs w:val="28"/>
          <w:lang w:eastAsia="uk-UA"/>
        </w:rPr>
        <w:t xml:space="preserve">D180 - державна програма кредитування (довідник </w:t>
      </w:r>
      <w:r w:rsidRPr="00C61D9C">
        <w:rPr>
          <w:rFonts w:ascii="Times New Roman" w:eastAsia="Times New Roman" w:hAnsi="Times New Roman" w:cs="Times New Roman"/>
          <w:sz w:val="28"/>
          <w:szCs w:val="28"/>
          <w:lang w:val="en-US" w:eastAsia="uk-UA"/>
        </w:rPr>
        <w:t>D</w:t>
      </w:r>
      <w:r w:rsidRPr="00C61D9C">
        <w:rPr>
          <w:rFonts w:ascii="Times New Roman" w:eastAsia="Times New Roman" w:hAnsi="Times New Roman" w:cs="Times New Roman"/>
          <w:sz w:val="28"/>
          <w:szCs w:val="28"/>
          <w:lang w:val="ru-RU" w:eastAsia="uk-UA"/>
        </w:rPr>
        <w:t>180</w:t>
      </w:r>
      <w:r w:rsidRPr="00C61D9C">
        <w:rPr>
          <w:rFonts w:ascii="Times New Roman" w:eastAsia="Times New Roman" w:hAnsi="Times New Roman" w:cs="Times New Roman"/>
          <w:sz w:val="28"/>
          <w:szCs w:val="28"/>
          <w:lang w:eastAsia="uk-UA"/>
        </w:rPr>
        <w:t>)</w:t>
      </w:r>
      <w:r w:rsidRPr="00C61D9C">
        <w:rPr>
          <w:rFonts w:ascii="Times New Roman" w:eastAsia="Times New Roman" w:hAnsi="Times New Roman" w:cs="Times New Roman"/>
          <w:sz w:val="28"/>
          <w:szCs w:val="28"/>
          <w:lang w:val="ru-RU" w:eastAsia="uk-UA"/>
        </w:rPr>
        <w:t xml:space="preserve">. Для сум (обсягів) депозитів і процентних ставок за ними (показник </w:t>
      </w:r>
      <w:r w:rsidRPr="00C61D9C">
        <w:rPr>
          <w:rFonts w:ascii="Times New Roman" w:eastAsia="Times New Roman" w:hAnsi="Times New Roman" w:cs="Times New Roman"/>
          <w:sz w:val="28"/>
          <w:szCs w:val="28"/>
          <w:lang w:val="en-US" w:eastAsia="uk-UA"/>
        </w:rPr>
        <w:t>AF</w:t>
      </w:r>
      <w:r w:rsidRPr="00C61D9C">
        <w:rPr>
          <w:rFonts w:ascii="Times New Roman" w:eastAsia="Times New Roman" w:hAnsi="Times New Roman" w:cs="Times New Roman"/>
          <w:sz w:val="28"/>
          <w:szCs w:val="28"/>
          <w:lang w:val="ru-RU" w:eastAsia="uk-UA"/>
        </w:rPr>
        <w:t>44</w:t>
      </w:r>
      <w:r w:rsidRPr="00C61D9C">
        <w:rPr>
          <w:rFonts w:ascii="Times New Roman" w:eastAsia="Times New Roman" w:hAnsi="Times New Roman" w:cs="Times New Roman"/>
          <w:sz w:val="28"/>
          <w:szCs w:val="28"/>
          <w:lang w:val="en-US" w:eastAsia="uk-UA"/>
        </w:rPr>
        <w:t>F</w:t>
      </w:r>
      <w:r w:rsidRPr="00C61D9C">
        <w:rPr>
          <w:rFonts w:ascii="Times New Roman" w:eastAsia="Times New Roman" w:hAnsi="Times New Roman" w:cs="Times New Roman"/>
          <w:sz w:val="28"/>
          <w:szCs w:val="28"/>
          <w:lang w:val="ru-RU" w:eastAsia="uk-UA"/>
        </w:rPr>
        <w:t>2) параметр приймає значення "001".</w:t>
      </w:r>
    </w:p>
    <w:p w:rsidR="00FB50FF" w:rsidRPr="00C61D9C" w:rsidRDefault="00FB50FF" w:rsidP="00E72F89">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C61D9C">
        <w:rPr>
          <w:rFonts w:ascii="Times New Roman" w:eastAsia="Times New Roman" w:hAnsi="Times New Roman" w:cs="Times New Roman"/>
          <w:sz w:val="28"/>
          <w:szCs w:val="28"/>
          <w:lang w:eastAsia="uk-UA"/>
        </w:rPr>
        <w:t>У випадку, якщо за активною операцією наявно дві та більше програм кредитування (що діють на звітну дату), то подається код, який відповідає програмі, що була першою за використанням в часі.</w:t>
      </w:r>
    </w:p>
    <w:p w:rsidR="00EC38CA" w:rsidRDefault="00EC38CA" w:rsidP="00744785">
      <w:pPr>
        <w:tabs>
          <w:tab w:val="left" w:pos="1134"/>
        </w:tabs>
        <w:spacing w:after="0" w:line="240" w:lineRule="auto"/>
        <w:jc w:val="both"/>
        <w:rPr>
          <w:rFonts w:ascii="Times New Roman" w:eastAsia="Times New Roman" w:hAnsi="Times New Roman" w:cs="Times New Roman"/>
          <w:sz w:val="28"/>
          <w:szCs w:val="28"/>
          <w:lang w:val="ru-RU" w:eastAsia="uk-UA"/>
        </w:rPr>
      </w:pPr>
    </w:p>
    <w:p w:rsidR="00FB50FF" w:rsidRDefault="00FB50FF" w:rsidP="00744785">
      <w:pPr>
        <w:tabs>
          <w:tab w:val="left" w:pos="1134"/>
        </w:tabs>
        <w:spacing w:after="0" w:line="240" w:lineRule="auto"/>
        <w:jc w:val="both"/>
        <w:rPr>
          <w:rFonts w:ascii="Times New Roman" w:eastAsia="Times New Roman" w:hAnsi="Times New Roman" w:cs="Times New Roman"/>
          <w:sz w:val="28"/>
          <w:szCs w:val="28"/>
          <w:lang w:val="ru-RU" w:eastAsia="uk-UA"/>
        </w:rPr>
      </w:pPr>
    </w:p>
    <w:p w:rsidR="00FB50FF" w:rsidRPr="002C3737" w:rsidRDefault="00FB50FF" w:rsidP="00744785">
      <w:pPr>
        <w:tabs>
          <w:tab w:val="left" w:pos="1134"/>
        </w:tabs>
        <w:spacing w:after="0" w:line="240" w:lineRule="auto"/>
        <w:jc w:val="both"/>
        <w:rPr>
          <w:rFonts w:ascii="Times New Roman" w:eastAsia="Times New Roman" w:hAnsi="Times New Roman" w:cs="Times New Roman"/>
          <w:sz w:val="28"/>
          <w:szCs w:val="28"/>
          <w:lang w:val="ru-RU" w:eastAsia="uk-UA"/>
        </w:rPr>
      </w:pPr>
    </w:p>
    <w:p w:rsidR="00867C32" w:rsidRPr="002C3737" w:rsidRDefault="00867C32" w:rsidP="00867C32">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Показники подаються за такими метриками:</w:t>
      </w:r>
    </w:p>
    <w:p w:rsidR="00867C32" w:rsidRPr="002C373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м</w:t>
      </w:r>
      <w:r w:rsidR="00867C32" w:rsidRPr="002C3737">
        <w:rPr>
          <w:rFonts w:ascii="Times New Roman" w:eastAsia="Times New Roman" w:hAnsi="Times New Roman" w:cs="Times New Roman"/>
          <w:sz w:val="28"/>
          <w:szCs w:val="28"/>
          <w:lang w:eastAsia="uk-UA"/>
        </w:rPr>
        <w:t>етрика T090 – процентна ставка, що визначена у кредитному/депозитному договорі</w:t>
      </w:r>
      <w:r w:rsidRPr="002C3737">
        <w:rPr>
          <w:rFonts w:ascii="Times New Roman" w:eastAsia="Times New Roman" w:hAnsi="Times New Roman" w:cs="Times New Roman"/>
          <w:sz w:val="28"/>
          <w:szCs w:val="28"/>
          <w:lang w:eastAsia="uk-UA"/>
        </w:rPr>
        <w:t>. Значення надається з точністю до чотирьох знаків після коми</w:t>
      </w:r>
      <w:r w:rsidR="00867C32" w:rsidRPr="002C3737">
        <w:rPr>
          <w:rFonts w:ascii="Times New Roman" w:eastAsia="Times New Roman" w:hAnsi="Times New Roman" w:cs="Times New Roman"/>
          <w:sz w:val="28"/>
          <w:szCs w:val="28"/>
          <w:lang w:eastAsia="uk-UA"/>
        </w:rPr>
        <w:t>;</w:t>
      </w:r>
    </w:p>
    <w:p w:rsidR="00867C32" w:rsidRPr="002C373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м</w:t>
      </w:r>
      <w:r w:rsidR="00867C32" w:rsidRPr="002C3737">
        <w:rPr>
          <w:rFonts w:ascii="Times New Roman" w:eastAsia="Times New Roman" w:hAnsi="Times New Roman" w:cs="Times New Roman"/>
          <w:sz w:val="28"/>
          <w:szCs w:val="28"/>
          <w:lang w:eastAsia="uk-UA"/>
        </w:rPr>
        <w:t>етрика T090_1</w:t>
      </w:r>
      <w:r w:rsidR="00C41F62" w:rsidRPr="002C3737">
        <w:rPr>
          <w:rFonts w:ascii="Times New Roman" w:eastAsia="Times New Roman" w:hAnsi="Times New Roman" w:cs="Times New Roman"/>
          <w:sz w:val="28"/>
          <w:szCs w:val="28"/>
          <w:lang w:val="en-US" w:eastAsia="uk-UA"/>
        </w:rPr>
        <w:t> </w:t>
      </w:r>
      <w:r w:rsidR="00867C32" w:rsidRPr="002C3737">
        <w:rPr>
          <w:rFonts w:ascii="Times New Roman" w:eastAsia="Times New Roman" w:hAnsi="Times New Roman" w:cs="Times New Roman"/>
          <w:sz w:val="28"/>
          <w:szCs w:val="28"/>
          <w:lang w:eastAsia="uk-UA"/>
        </w:rPr>
        <w:t>–</w:t>
      </w:r>
      <w:r w:rsidR="00C41F62" w:rsidRPr="002C3737">
        <w:rPr>
          <w:rFonts w:ascii="Times New Roman" w:eastAsia="Times New Roman" w:hAnsi="Times New Roman" w:cs="Times New Roman"/>
          <w:sz w:val="28"/>
          <w:szCs w:val="28"/>
          <w:lang w:val="en-US" w:eastAsia="uk-UA"/>
        </w:rPr>
        <w:t> </w:t>
      </w:r>
      <w:r w:rsidR="00867C32" w:rsidRPr="002C3737">
        <w:rPr>
          <w:rFonts w:ascii="Times New Roman" w:eastAsia="Times New Roman" w:hAnsi="Times New Roman" w:cs="Times New Roman"/>
          <w:sz w:val="28"/>
          <w:szCs w:val="28"/>
          <w:lang w:eastAsia="uk-UA"/>
        </w:rPr>
        <w:t>базова процентна ставка, що використовується у кредитному/депозитному договорі. Значення надається з точністю до двох знаків після коми;</w:t>
      </w:r>
    </w:p>
    <w:p w:rsidR="00867C32" w:rsidRPr="002C373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м</w:t>
      </w:r>
      <w:r w:rsidR="00867C32" w:rsidRPr="002C3737">
        <w:rPr>
          <w:rFonts w:ascii="Times New Roman" w:eastAsia="Times New Roman" w:hAnsi="Times New Roman" w:cs="Times New Roman"/>
          <w:sz w:val="28"/>
          <w:szCs w:val="28"/>
          <w:lang w:eastAsia="uk-UA"/>
        </w:rPr>
        <w:t>етрика T090_2</w:t>
      </w:r>
      <w:r w:rsidR="00C41F62" w:rsidRPr="002C3737">
        <w:rPr>
          <w:rFonts w:ascii="Times New Roman" w:eastAsia="Times New Roman" w:hAnsi="Times New Roman" w:cs="Times New Roman"/>
          <w:sz w:val="28"/>
          <w:szCs w:val="28"/>
          <w:lang w:val="en-US" w:eastAsia="uk-UA"/>
        </w:rPr>
        <w:t> </w:t>
      </w:r>
      <w:r w:rsidR="00867C32" w:rsidRPr="002C3737">
        <w:rPr>
          <w:rFonts w:ascii="Times New Roman" w:eastAsia="Times New Roman" w:hAnsi="Times New Roman" w:cs="Times New Roman"/>
          <w:sz w:val="28"/>
          <w:szCs w:val="28"/>
          <w:lang w:eastAsia="uk-UA"/>
        </w:rPr>
        <w:t>–</w:t>
      </w:r>
      <w:r w:rsidR="00C41F62" w:rsidRPr="002C3737">
        <w:rPr>
          <w:rFonts w:ascii="Times New Roman" w:eastAsia="Times New Roman" w:hAnsi="Times New Roman" w:cs="Times New Roman"/>
          <w:sz w:val="28"/>
          <w:szCs w:val="28"/>
          <w:lang w:val="en-US" w:eastAsia="uk-UA"/>
        </w:rPr>
        <w:t> </w:t>
      </w:r>
      <w:r w:rsidR="00867C32" w:rsidRPr="002C3737">
        <w:rPr>
          <w:rFonts w:ascii="Times New Roman" w:eastAsia="Times New Roman" w:hAnsi="Times New Roman" w:cs="Times New Roman"/>
          <w:sz w:val="28"/>
          <w:szCs w:val="28"/>
          <w:lang w:eastAsia="uk-UA"/>
        </w:rPr>
        <w:t>коефіцієнт, що використовується у кредитному/</w:t>
      </w:r>
      <w:r w:rsidR="00C41F62" w:rsidRPr="002C3737">
        <w:rPr>
          <w:rFonts w:ascii="Times New Roman" w:eastAsia="Times New Roman" w:hAnsi="Times New Roman" w:cs="Times New Roman"/>
          <w:sz w:val="28"/>
          <w:szCs w:val="28"/>
          <w:lang w:val="ru-RU" w:eastAsia="uk-UA"/>
        </w:rPr>
        <w:t xml:space="preserve"> </w:t>
      </w:r>
      <w:r w:rsidR="00867C32" w:rsidRPr="002C3737">
        <w:rPr>
          <w:rFonts w:ascii="Times New Roman" w:eastAsia="Times New Roman" w:hAnsi="Times New Roman" w:cs="Times New Roman"/>
          <w:sz w:val="28"/>
          <w:szCs w:val="28"/>
          <w:lang w:eastAsia="uk-UA"/>
        </w:rPr>
        <w:t>депозитному договорі. Значення надається з точністю до двох знаків після коми.</w:t>
      </w:r>
    </w:p>
    <w:p w:rsidR="00867C32" w:rsidRPr="002C3737" w:rsidRDefault="00867C3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p>
    <w:p w:rsidR="00C823DA" w:rsidRPr="002C3737" w:rsidRDefault="00C823DA"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Особливості відображення окремих параметрів у файлі </w:t>
      </w:r>
      <w:r w:rsidRPr="002C3737">
        <w:rPr>
          <w:rFonts w:ascii="Times New Roman" w:eastAsia="Times New Roman" w:hAnsi="Times New Roman" w:cs="Times New Roman"/>
          <w:sz w:val="28"/>
          <w:szCs w:val="28"/>
          <w:lang w:val="en-US" w:eastAsia="uk-UA"/>
        </w:rPr>
        <w:t>F</w:t>
      </w:r>
      <w:r w:rsidRPr="002C3737">
        <w:rPr>
          <w:rFonts w:ascii="Times New Roman" w:eastAsia="Times New Roman" w:hAnsi="Times New Roman" w:cs="Times New Roman"/>
          <w:sz w:val="28"/>
          <w:szCs w:val="28"/>
          <w:lang w:val="ru-RU" w:eastAsia="uk-UA"/>
        </w:rPr>
        <w:t>4</w:t>
      </w:r>
      <w:r w:rsidRPr="002C3737">
        <w:rPr>
          <w:rFonts w:ascii="Times New Roman" w:eastAsia="Times New Roman" w:hAnsi="Times New Roman" w:cs="Times New Roman"/>
          <w:sz w:val="28"/>
          <w:szCs w:val="28"/>
          <w:lang w:eastAsia="uk-UA"/>
        </w:rPr>
        <w:t>X:</w:t>
      </w:r>
    </w:p>
    <w:p w:rsidR="00C823DA" w:rsidRPr="002C3737" w:rsidRDefault="00C823DA" w:rsidP="00EC38CA">
      <w:pPr>
        <w:tabs>
          <w:tab w:val="left" w:pos="1134"/>
        </w:tabs>
        <w:spacing w:after="0" w:line="240" w:lineRule="auto"/>
        <w:ind w:firstLine="567"/>
        <w:jc w:val="both"/>
        <w:rPr>
          <w:rFonts w:ascii="Times New Roman" w:hAnsi="Times New Roman" w:cs="Times New Roman"/>
          <w:sz w:val="28"/>
          <w:szCs w:val="28"/>
        </w:rPr>
      </w:pPr>
    </w:p>
    <w:p w:rsidR="00C4390E" w:rsidRPr="002C3737" w:rsidRDefault="00C4390E" w:rsidP="00C4390E">
      <w:pPr>
        <w:pStyle w:val="a3"/>
        <w:numPr>
          <w:ilvl w:val="0"/>
          <w:numId w:val="20"/>
        </w:numPr>
        <w:tabs>
          <w:tab w:val="left" w:pos="1134"/>
        </w:tabs>
        <w:jc w:val="both"/>
        <w:rPr>
          <w:rFonts w:ascii="Times New Roman" w:eastAsia="Times New Roman" w:hAnsi="Times New Roman" w:cs="Times New Roman"/>
          <w:vanish/>
          <w:sz w:val="28"/>
          <w:szCs w:val="28"/>
          <w:lang w:eastAsia="uk-UA"/>
        </w:rPr>
      </w:pPr>
    </w:p>
    <w:p w:rsidR="00C4390E" w:rsidRPr="002C3737" w:rsidRDefault="00C4390E" w:rsidP="00C4390E">
      <w:pPr>
        <w:pStyle w:val="a3"/>
        <w:numPr>
          <w:ilvl w:val="0"/>
          <w:numId w:val="20"/>
        </w:numPr>
        <w:tabs>
          <w:tab w:val="left" w:pos="1134"/>
        </w:tabs>
        <w:jc w:val="both"/>
        <w:rPr>
          <w:rFonts w:ascii="Times New Roman" w:eastAsia="Times New Roman" w:hAnsi="Times New Roman" w:cs="Times New Roman"/>
          <w:vanish/>
          <w:sz w:val="28"/>
          <w:szCs w:val="28"/>
          <w:lang w:eastAsia="uk-UA"/>
        </w:rPr>
      </w:pPr>
    </w:p>
    <w:p w:rsidR="00C823DA" w:rsidRPr="002C3737" w:rsidRDefault="00C823DA" w:rsidP="00C4390E">
      <w:pPr>
        <w:pStyle w:val="a3"/>
        <w:numPr>
          <w:ilvl w:val="1"/>
          <w:numId w:val="20"/>
        </w:numPr>
        <w:tabs>
          <w:tab w:val="left" w:pos="1134"/>
        </w:tabs>
        <w:ind w:left="128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Параметр </w:t>
      </w:r>
      <w:r w:rsidRPr="002C3737">
        <w:rPr>
          <w:rFonts w:ascii="Times New Roman" w:eastAsia="Times New Roman" w:hAnsi="Times New Roman" w:cs="Times New Roman"/>
          <w:sz w:val="28"/>
          <w:szCs w:val="28"/>
          <w:lang w:val="en-US" w:eastAsia="uk-UA"/>
        </w:rPr>
        <w:t>K</w:t>
      </w:r>
      <w:r w:rsidRPr="002C3737">
        <w:rPr>
          <w:rFonts w:ascii="Times New Roman" w:eastAsia="Times New Roman" w:hAnsi="Times New Roman" w:cs="Times New Roman"/>
          <w:sz w:val="28"/>
          <w:szCs w:val="28"/>
          <w:lang w:val="ru-RU" w:eastAsia="uk-UA"/>
        </w:rPr>
        <w:t xml:space="preserve">072 </w:t>
      </w:r>
      <w:r w:rsidRPr="002C3737">
        <w:rPr>
          <w:rFonts w:ascii="Times New Roman" w:eastAsia="Times New Roman" w:hAnsi="Times New Roman" w:cs="Times New Roman"/>
          <w:sz w:val="28"/>
          <w:szCs w:val="28"/>
          <w:lang w:eastAsia="uk-UA"/>
        </w:rPr>
        <w:t>відображає сектор економіки контрагента</w:t>
      </w:r>
      <w:r w:rsidR="003D23D2" w:rsidRPr="002C3737">
        <w:rPr>
          <w:rFonts w:ascii="Times New Roman" w:eastAsia="Times New Roman" w:hAnsi="Times New Roman" w:cs="Times New Roman"/>
          <w:sz w:val="28"/>
          <w:szCs w:val="28"/>
          <w:lang w:eastAsia="uk-UA"/>
        </w:rPr>
        <w:t>.</w:t>
      </w:r>
      <w:r w:rsidRPr="002C3737">
        <w:rPr>
          <w:rFonts w:ascii="Times New Roman" w:eastAsia="Times New Roman" w:hAnsi="Times New Roman" w:cs="Times New Roman"/>
          <w:sz w:val="28"/>
          <w:szCs w:val="28"/>
          <w:lang w:eastAsia="uk-UA"/>
        </w:rPr>
        <w:t xml:space="preserve"> </w:t>
      </w:r>
    </w:p>
    <w:p w:rsidR="00C823DA" w:rsidRPr="002C3737" w:rsidRDefault="00C823DA" w:rsidP="00EC38CA">
      <w:pPr>
        <w:pStyle w:val="a3"/>
        <w:numPr>
          <w:ilvl w:val="1"/>
          <w:numId w:val="20"/>
        </w:numPr>
        <w:tabs>
          <w:tab w:val="left" w:pos="1134"/>
        </w:tabs>
        <w:ind w:left="0" w:firstLine="567"/>
        <w:jc w:val="both"/>
        <w:rPr>
          <w:rFonts w:ascii="Times New Roman" w:eastAsia="Times New Roman" w:hAnsi="Times New Roman" w:cs="Times New Roman"/>
          <w:sz w:val="28"/>
          <w:szCs w:val="28"/>
          <w:lang w:eastAsia="uk-UA"/>
        </w:rPr>
      </w:pPr>
      <w:r w:rsidRPr="002C3737">
        <w:rPr>
          <w:rFonts w:ascii="Times New Roman" w:hAnsi="Times New Roman"/>
          <w:sz w:val="28"/>
          <w:szCs w:val="28"/>
          <w:lang w:eastAsia="uk-UA"/>
        </w:rPr>
        <w:t>Параметр</w:t>
      </w:r>
      <w:r w:rsidRPr="002C3737">
        <w:rPr>
          <w:rFonts w:ascii="Times New Roman" w:eastAsia="Times New Roman" w:hAnsi="Times New Roman" w:cs="Times New Roman"/>
          <w:sz w:val="28"/>
          <w:szCs w:val="28"/>
          <w:lang w:eastAsia="uk-UA"/>
        </w:rPr>
        <w:t xml:space="preserve"> K111 відображає вид економічної діяльності контрагента згідно основного виду економічної діяльності, що є першим у списку кодів відповідно до реєстраційних даних контрагента. Для контрагента – фізичної особи, яка не здійснює підприємницької діяльності, нерезидентів зазначається значення “00”.</w:t>
      </w:r>
    </w:p>
    <w:p w:rsidR="00C823DA" w:rsidRPr="002C3737" w:rsidRDefault="00C823DA" w:rsidP="00A5754B">
      <w:pPr>
        <w:pStyle w:val="a3"/>
        <w:numPr>
          <w:ilvl w:val="1"/>
          <w:numId w:val="20"/>
        </w:numPr>
        <w:tabs>
          <w:tab w:val="left" w:pos="1134"/>
        </w:tabs>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Параметр S03</w:t>
      </w:r>
      <w:r w:rsidRPr="002C3737">
        <w:rPr>
          <w:rFonts w:ascii="Times New Roman" w:eastAsia="Times New Roman" w:hAnsi="Times New Roman" w:cs="Times New Roman"/>
          <w:sz w:val="28"/>
          <w:szCs w:val="28"/>
          <w:lang w:val="ru-RU" w:eastAsia="uk-UA"/>
        </w:rPr>
        <w:t>2</w:t>
      </w:r>
      <w:r w:rsidRPr="002C3737">
        <w:rPr>
          <w:rFonts w:ascii="Times New Roman" w:eastAsia="Times New Roman" w:hAnsi="Times New Roman" w:cs="Times New Roman"/>
          <w:sz w:val="28"/>
          <w:szCs w:val="28"/>
          <w:lang w:eastAsia="uk-UA"/>
        </w:rPr>
        <w:t xml:space="preserve"> відображає вид (види) забезпечення, що надано за активом</w:t>
      </w:r>
      <w:r w:rsidRPr="002C3737">
        <w:rPr>
          <w:rFonts w:ascii="Times New Roman" w:eastAsia="Times New Roman" w:hAnsi="Times New Roman" w:cs="Times New Roman"/>
          <w:sz w:val="28"/>
          <w:szCs w:val="28"/>
          <w:lang w:val="ru-RU" w:eastAsia="uk-UA"/>
        </w:rPr>
        <w:t xml:space="preserve"> (без </w:t>
      </w:r>
      <w:r w:rsidRPr="002C3737">
        <w:rPr>
          <w:rFonts w:ascii="Times New Roman" w:eastAsia="Times New Roman" w:hAnsi="Times New Roman" w:cs="Times New Roman"/>
          <w:sz w:val="28"/>
          <w:szCs w:val="28"/>
          <w:lang w:eastAsia="uk-UA"/>
        </w:rPr>
        <w:t>застосування</w:t>
      </w:r>
      <w:r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 xml:space="preserve">критеріїв та принципів прийнятності, визначених у </w:t>
      </w:r>
      <w:r w:rsidRPr="002C3737">
        <w:rPr>
          <w:rFonts w:ascii="Times New Roman" w:hAnsi="Times New Roman" w:cs="Times New Roman"/>
          <w:sz w:val="28"/>
          <w:szCs w:val="28"/>
        </w:rPr>
        <w:t>Положенні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w:t>
      </w:r>
      <w:r w:rsidRPr="002C3737">
        <w:rPr>
          <w:rFonts w:ascii="Times New Roman" w:eastAsia="Times New Roman" w:hAnsi="Times New Roman" w:cs="Times New Roman"/>
          <w:sz w:val="28"/>
          <w:szCs w:val="28"/>
          <w:lang w:val="ru-RU" w:eastAsia="uk-UA"/>
        </w:rPr>
        <w:t>)</w:t>
      </w:r>
      <w:r w:rsidRPr="002C3737">
        <w:rPr>
          <w:rFonts w:ascii="Times New Roman" w:eastAsia="Times New Roman" w:hAnsi="Times New Roman" w:cs="Times New Roman"/>
          <w:sz w:val="28"/>
          <w:szCs w:val="28"/>
          <w:lang w:eastAsia="uk-UA"/>
        </w:rPr>
        <w:t>. Якщо за активом надано декілька видів забезпечення, зазначається вид забезпечення, сума вартості якого за активом є найбільшою. Якщо вартість кількох видів забезпечення за активом врахована банком в однакових сумах, значення параметра зазначається на розсуд банку</w:t>
      </w:r>
      <w:r w:rsidRPr="002C3737">
        <w:rPr>
          <w:rFonts w:ascii="Times New Roman" w:eastAsia="Times New Roman" w:hAnsi="Times New Roman" w:cs="Times New Roman"/>
          <w:sz w:val="28"/>
          <w:szCs w:val="28"/>
          <w:lang w:val="ru-RU" w:eastAsia="uk-UA"/>
        </w:rPr>
        <w:t xml:space="preserve">. </w:t>
      </w:r>
      <w:r w:rsidR="00A5754B" w:rsidRPr="00A5754B">
        <w:rPr>
          <w:rFonts w:ascii="Times New Roman" w:eastAsia="Times New Roman" w:hAnsi="Times New Roman" w:cs="Times New Roman"/>
          <w:color w:val="FF0000"/>
          <w:sz w:val="28"/>
          <w:szCs w:val="28"/>
          <w:lang w:eastAsia="uk-UA"/>
        </w:rPr>
        <w:t>При визначенні найбільшого за вартістю виду забезпечення не враховується вартість порук, наданих фізичними та юридичними особами</w:t>
      </w:r>
      <w:r w:rsidR="00A5754B" w:rsidRPr="00A5754B">
        <w:rPr>
          <w:rFonts w:ascii="Times New Roman" w:eastAsia="Times New Roman" w:hAnsi="Times New Roman" w:cs="Times New Roman"/>
          <w:color w:val="FF0000"/>
          <w:sz w:val="28"/>
          <w:szCs w:val="28"/>
          <w:lang w:val="ru-RU" w:eastAsia="uk-UA"/>
        </w:rPr>
        <w:t xml:space="preserve">. </w:t>
      </w:r>
      <w:r w:rsidRPr="002C3737">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w:t>
      </w:r>
      <w:r w:rsidRPr="002C3737">
        <w:rPr>
          <w:rFonts w:ascii="Times New Roman" w:eastAsia="Times New Roman" w:hAnsi="Times New Roman" w:cs="Times New Roman"/>
          <w:sz w:val="28"/>
          <w:szCs w:val="28"/>
          <w:lang w:val="ru-RU" w:eastAsia="uk-UA"/>
        </w:rPr>
        <w:t>8</w:t>
      </w:r>
      <w:r w:rsidRPr="002C3737">
        <w:rPr>
          <w:rFonts w:ascii="Times New Roman" w:eastAsia="Times New Roman" w:hAnsi="Times New Roman" w:cs="Times New Roman"/>
          <w:sz w:val="28"/>
          <w:szCs w:val="28"/>
          <w:lang w:eastAsia="uk-UA"/>
        </w:rPr>
        <w:t>. Без забезпечення».</w:t>
      </w:r>
    </w:p>
    <w:p w:rsidR="00305E9A" w:rsidRPr="002C3737" w:rsidRDefault="003D23D2" w:rsidP="00305E9A">
      <w:pPr>
        <w:pStyle w:val="a3"/>
        <w:numPr>
          <w:ilvl w:val="1"/>
          <w:numId w:val="20"/>
        </w:numPr>
        <w:tabs>
          <w:tab w:val="left" w:pos="1134"/>
        </w:tabs>
        <w:spacing w:after="0"/>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Параметр </w:t>
      </w:r>
      <w:r w:rsidRPr="002C3737">
        <w:rPr>
          <w:rFonts w:ascii="Times New Roman" w:eastAsia="Times New Roman" w:hAnsi="Times New Roman" w:cs="Times New Roman"/>
          <w:sz w:val="28"/>
          <w:szCs w:val="28"/>
          <w:lang w:val="en-US" w:eastAsia="uk-UA"/>
        </w:rPr>
        <w:t>N</w:t>
      </w:r>
      <w:r w:rsidRPr="002C3737">
        <w:rPr>
          <w:rFonts w:ascii="Times New Roman" w:eastAsia="Times New Roman" w:hAnsi="Times New Roman" w:cs="Times New Roman"/>
          <w:sz w:val="28"/>
          <w:szCs w:val="28"/>
          <w:lang w:val="ru-RU" w:eastAsia="uk-UA"/>
        </w:rPr>
        <w:t>0</w:t>
      </w:r>
      <w:r w:rsidRPr="002C3737">
        <w:rPr>
          <w:rFonts w:ascii="Times New Roman" w:eastAsia="Times New Roman" w:hAnsi="Times New Roman" w:cs="Times New Roman"/>
          <w:sz w:val="28"/>
          <w:szCs w:val="28"/>
          <w:lang w:eastAsia="uk-UA"/>
        </w:rPr>
        <w:t>48 відображає значення індексу, погодженого сторонами кредитного/депозитного договору, що використовується у формулі визначення змінюваної процентної ставки за договором. Для договорів з фіксованою процентною ставкою, а також якщо за договором процентна ставка не застосовується (дорівнює нулю), параметр приймає значення «</w:t>
      </w:r>
      <w:r w:rsidRPr="002C3737">
        <w:rPr>
          <w:rFonts w:ascii="Times New Roman" w:eastAsia="Times New Roman" w:hAnsi="Times New Roman" w:cs="Times New Roman"/>
          <w:sz w:val="28"/>
          <w:szCs w:val="28"/>
          <w:lang w:val="en-US" w:eastAsia="uk-UA"/>
        </w:rPr>
        <w:t>ZZ</w:t>
      </w:r>
      <w:r w:rsidRPr="002C3737">
        <w:rPr>
          <w:rFonts w:ascii="Times New Roman" w:eastAsia="Times New Roman" w:hAnsi="Times New Roman" w:cs="Times New Roman"/>
          <w:sz w:val="28"/>
          <w:szCs w:val="28"/>
          <w:lang w:eastAsia="uk-UA"/>
        </w:rPr>
        <w:t>».</w:t>
      </w:r>
    </w:p>
    <w:p w:rsidR="003D23D2" w:rsidRDefault="003D23D2" w:rsidP="00D760DA">
      <w:pPr>
        <w:pStyle w:val="a3"/>
        <w:numPr>
          <w:ilvl w:val="1"/>
          <w:numId w:val="20"/>
        </w:numPr>
        <w:tabs>
          <w:tab w:val="left" w:pos="1134"/>
        </w:tabs>
        <w:spacing w:after="0"/>
        <w:ind w:left="0" w:firstLine="567"/>
        <w:jc w:val="both"/>
        <w:rPr>
          <w:rFonts w:ascii="Times New Roman" w:eastAsia="Times New Roman" w:hAnsi="Times New Roman" w:cs="Times New Roman"/>
          <w:sz w:val="28"/>
          <w:szCs w:val="28"/>
          <w:lang w:eastAsia="uk-UA"/>
        </w:rPr>
      </w:pPr>
      <w:r w:rsidRPr="00D760DA">
        <w:rPr>
          <w:rFonts w:ascii="Times New Roman" w:eastAsia="Times New Roman" w:hAnsi="Times New Roman" w:cs="Times New Roman"/>
          <w:sz w:val="28"/>
          <w:szCs w:val="28"/>
          <w:lang w:eastAsia="uk-UA"/>
        </w:rPr>
        <w:t xml:space="preserve"> </w:t>
      </w:r>
      <w:r w:rsidR="00305E9A" w:rsidRPr="00D760DA">
        <w:rPr>
          <w:rFonts w:ascii="Times New Roman" w:eastAsia="Times New Roman" w:hAnsi="Times New Roman" w:cs="Times New Roman"/>
          <w:sz w:val="28"/>
          <w:szCs w:val="28"/>
          <w:lang w:eastAsia="uk-UA"/>
        </w:rPr>
        <w:t>Параметр S180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(Тп-Тв, де Тп – дата погашення, Тв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(Тп</w:t>
      </w:r>
      <w:r w:rsidR="00305E9A" w:rsidRPr="00D760DA">
        <w:rPr>
          <w:rFonts w:ascii="Times New Roman" w:eastAsia="Times New Roman" w:hAnsi="Times New Roman" w:cs="Times New Roman"/>
          <w:sz w:val="28"/>
          <w:szCs w:val="28"/>
          <w:vertAlign w:val="subscript"/>
          <w:lang w:eastAsia="uk-UA"/>
        </w:rPr>
        <w:t>1</w:t>
      </w:r>
      <w:r w:rsidR="00305E9A" w:rsidRPr="00D760DA">
        <w:rPr>
          <w:rFonts w:ascii="Times New Roman" w:eastAsia="Times New Roman" w:hAnsi="Times New Roman" w:cs="Times New Roman"/>
          <w:sz w:val="28"/>
          <w:szCs w:val="28"/>
          <w:lang w:eastAsia="uk-UA"/>
        </w:rPr>
        <w:t>-Тв, де Тп</w:t>
      </w:r>
      <w:r w:rsidR="00305E9A" w:rsidRPr="00D760DA">
        <w:rPr>
          <w:rFonts w:ascii="Times New Roman" w:eastAsia="Times New Roman" w:hAnsi="Times New Roman" w:cs="Times New Roman"/>
          <w:sz w:val="28"/>
          <w:szCs w:val="28"/>
          <w:vertAlign w:val="subscript"/>
          <w:lang w:eastAsia="uk-UA"/>
        </w:rPr>
        <w:t>1</w:t>
      </w:r>
      <w:r w:rsidR="00305E9A" w:rsidRPr="00D760DA">
        <w:rPr>
          <w:rFonts w:ascii="Times New Roman" w:eastAsia="Times New Roman" w:hAnsi="Times New Roman" w:cs="Times New Roman"/>
          <w:sz w:val="28"/>
          <w:szCs w:val="28"/>
          <w:lang w:eastAsia="uk-UA"/>
        </w:rPr>
        <w:t xml:space="preserve"> – нова дата погашення, Тв – дата виникнення), при цьому дата виникнення існуючого фінансового інструменту залишається без змін.</w:t>
      </w:r>
      <w:r w:rsidR="00D760DA" w:rsidRPr="00D760DA">
        <w:rPr>
          <w:rFonts w:ascii="Times New Roman" w:eastAsia="Times New Roman" w:hAnsi="Times New Roman" w:cs="Times New Roman"/>
          <w:sz w:val="28"/>
          <w:szCs w:val="28"/>
          <w:lang w:eastAsia="uk-UA"/>
        </w:rPr>
        <w:t xml:space="preserve"> 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w:t>
      </w:r>
      <w:r w:rsidR="00D760DA" w:rsidRPr="00D760DA">
        <w:rPr>
          <w:rFonts w:ascii="Times New Roman" w:eastAsia="Times New Roman" w:hAnsi="Times New Roman" w:cs="Times New Roman"/>
          <w:sz w:val="28"/>
          <w:szCs w:val="28"/>
          <w:lang w:eastAsia="uk-UA"/>
        </w:rPr>
        <w:lastRenderedPageBreak/>
        <w:t>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визначається від дати нового розміщення до кінцевої дати погашення. Початковий строк погашення фінансового інструменту без встановленої</w:t>
      </w:r>
      <w:r w:rsidR="00D760DA">
        <w:rPr>
          <w:rFonts w:ascii="Times New Roman" w:eastAsia="Times New Roman" w:hAnsi="Times New Roman" w:cs="Times New Roman"/>
          <w:sz w:val="28"/>
          <w:szCs w:val="28"/>
          <w:lang w:eastAsia="uk-UA"/>
        </w:rPr>
        <w:t xml:space="preserve"> </w:t>
      </w:r>
      <w:r w:rsidR="00D760DA" w:rsidRPr="00D760DA">
        <w:rPr>
          <w:rFonts w:ascii="Times New Roman" w:eastAsia="Times New Roman" w:hAnsi="Times New Roman" w:cs="Times New Roman"/>
          <w:sz w:val="28"/>
          <w:szCs w:val="28"/>
          <w:lang w:eastAsia="uk-UA"/>
        </w:rPr>
        <w:t>дати погашення визначається “на вимогу”.</w:t>
      </w:r>
    </w:p>
    <w:p w:rsidR="002F790A" w:rsidRPr="00D46FF6" w:rsidRDefault="002F790A" w:rsidP="002F790A">
      <w:pPr>
        <w:pStyle w:val="a3"/>
        <w:numPr>
          <w:ilvl w:val="1"/>
          <w:numId w:val="20"/>
        </w:numPr>
        <w:tabs>
          <w:tab w:val="left" w:pos="993"/>
        </w:tabs>
        <w:spacing w:after="0"/>
        <w:ind w:left="0" w:firstLine="567"/>
        <w:jc w:val="both"/>
        <w:rPr>
          <w:rFonts w:ascii="Times New Roman" w:eastAsia="Times New Roman" w:hAnsi="Times New Roman" w:cs="Times New Roman"/>
          <w:sz w:val="28"/>
          <w:szCs w:val="28"/>
          <w:lang w:eastAsia="uk-UA"/>
        </w:rPr>
      </w:pPr>
      <w:r w:rsidRPr="002F790A">
        <w:rPr>
          <w:rFonts w:ascii="Times New Roman" w:eastAsia="Times New Roman" w:hAnsi="Times New Roman" w:cs="Times New Roman"/>
          <w:color w:val="FF0000"/>
          <w:sz w:val="28"/>
          <w:szCs w:val="28"/>
          <w:lang w:eastAsia="uk-UA"/>
        </w:rPr>
        <w:t xml:space="preserve"> Параметр S260 відображає види кредитів за цільо</w:t>
      </w:r>
      <w:r w:rsidR="00503816">
        <w:rPr>
          <w:rFonts w:ascii="Times New Roman" w:eastAsia="Times New Roman" w:hAnsi="Times New Roman" w:cs="Times New Roman"/>
          <w:color w:val="FF0000"/>
          <w:sz w:val="28"/>
          <w:szCs w:val="28"/>
          <w:lang w:eastAsia="uk-UA"/>
        </w:rPr>
        <w:t>вим спрямуванням</w:t>
      </w:r>
      <w:r w:rsidRPr="002F790A">
        <w:rPr>
          <w:rFonts w:ascii="Times New Roman" w:eastAsia="Times New Roman" w:hAnsi="Times New Roman" w:cs="Times New Roman"/>
          <w:color w:val="FF0000"/>
          <w:sz w:val="28"/>
          <w:szCs w:val="28"/>
          <w:lang w:eastAsia="uk-UA"/>
        </w:rPr>
        <w:t>. Значення «12. Придбання житлової нерухомості на первинному ринку» параметра S260 зазначається,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Значення «13. Придбання житлової нерухомості на вторинному ринку» параметра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p w:rsidR="00D46FF6" w:rsidRPr="00D46FF6" w:rsidRDefault="00D46FF6" w:rsidP="002F790A">
      <w:pPr>
        <w:pStyle w:val="a3"/>
        <w:numPr>
          <w:ilvl w:val="1"/>
          <w:numId w:val="20"/>
        </w:numPr>
        <w:tabs>
          <w:tab w:val="left" w:pos="993"/>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sidRPr="00D46FF6">
        <w:rPr>
          <w:rFonts w:ascii="Times New Roman" w:eastAsia="Times New Roman" w:hAnsi="Times New Roman" w:cs="Times New Roman"/>
          <w:color w:val="FF0000"/>
          <w:sz w:val="28"/>
          <w:szCs w:val="28"/>
          <w:lang w:eastAsia="uk-UA"/>
        </w:rPr>
        <w:t>Пара</w:t>
      </w:r>
      <w:r>
        <w:rPr>
          <w:rFonts w:ascii="Times New Roman" w:eastAsia="Times New Roman" w:hAnsi="Times New Roman" w:cs="Times New Roman"/>
          <w:color w:val="FF0000"/>
          <w:sz w:val="28"/>
          <w:szCs w:val="28"/>
          <w:lang w:eastAsia="uk-UA"/>
        </w:rPr>
        <w:t>метр K140 відображає розмір суб’</w:t>
      </w:r>
      <w:r w:rsidRPr="00D46FF6">
        <w:rPr>
          <w:rFonts w:ascii="Times New Roman" w:eastAsia="Times New Roman" w:hAnsi="Times New Roman" w:cs="Times New Roman"/>
          <w:color w:val="FF0000"/>
          <w:sz w:val="28"/>
          <w:szCs w:val="28"/>
          <w:lang w:eastAsia="uk-UA"/>
        </w:rPr>
        <w:t>єкта господарювання:</w:t>
      </w:r>
    </w:p>
    <w:p w:rsidR="00D46FF6" w:rsidRPr="00D46FF6" w:rsidRDefault="00D46FF6" w:rsidP="00D46FF6">
      <w:pPr>
        <w:tabs>
          <w:tab w:val="left" w:pos="851"/>
        </w:tabs>
        <w:spacing w:after="0" w:line="240" w:lineRule="auto"/>
        <w:ind w:firstLine="567"/>
        <w:jc w:val="both"/>
        <w:rPr>
          <w:rFonts w:ascii="Times New Roman" w:eastAsia="Times New Roman" w:hAnsi="Times New Roman" w:cs="Times New Roman"/>
          <w:color w:val="FF0000"/>
          <w:sz w:val="28"/>
          <w:szCs w:val="28"/>
          <w:lang w:eastAsia="uk-UA"/>
        </w:rPr>
      </w:pPr>
      <w:r w:rsidRPr="00D46FF6">
        <w:rPr>
          <w:rFonts w:ascii="Times New Roman" w:eastAsia="Times New Roman" w:hAnsi="Times New Roman" w:cs="Times New Roman"/>
          <w:color w:val="FF0000"/>
          <w:sz w:val="28"/>
          <w:szCs w:val="28"/>
          <w:lang w:eastAsia="uk-UA"/>
        </w:rPr>
        <w:t>а) розмір суб’єкта господарювання (значення параметра K140=1,2,3,4,5,6)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rsidR="00D46FF6" w:rsidRPr="00D46FF6" w:rsidRDefault="00D46FF6" w:rsidP="00D46FF6">
      <w:pPr>
        <w:tabs>
          <w:tab w:val="left" w:pos="851"/>
        </w:tabs>
        <w:spacing w:after="0" w:line="240" w:lineRule="auto"/>
        <w:ind w:firstLine="567"/>
        <w:jc w:val="both"/>
        <w:rPr>
          <w:rFonts w:ascii="Times New Roman" w:eastAsia="Times New Roman" w:hAnsi="Times New Roman" w:cs="Times New Roman"/>
          <w:color w:val="FF0000"/>
          <w:sz w:val="28"/>
          <w:szCs w:val="28"/>
          <w:lang w:eastAsia="uk-UA"/>
        </w:rPr>
      </w:pPr>
      <w:r w:rsidRPr="00D46FF6">
        <w:rPr>
          <w:rFonts w:ascii="Times New Roman" w:eastAsia="Times New Roman" w:hAnsi="Times New Roman" w:cs="Times New Roman"/>
          <w:color w:val="FF0000"/>
          <w:sz w:val="28"/>
          <w:szCs w:val="28"/>
          <w:lang w:eastAsia="uk-UA"/>
        </w:rPr>
        <w:t>Згідно з пунктом 55 розділу IV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вебпорталі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фондового ринку.</w:t>
      </w:r>
    </w:p>
    <w:p w:rsidR="00D46FF6" w:rsidRPr="00D46FF6" w:rsidRDefault="00D46FF6" w:rsidP="00D46FF6">
      <w:pPr>
        <w:tabs>
          <w:tab w:val="left" w:pos="851"/>
        </w:tabs>
        <w:spacing w:after="0" w:line="240" w:lineRule="auto"/>
        <w:ind w:firstLine="567"/>
        <w:jc w:val="both"/>
        <w:rPr>
          <w:rFonts w:ascii="Times New Roman" w:eastAsia="Times New Roman" w:hAnsi="Times New Roman" w:cs="Times New Roman"/>
          <w:color w:val="FF0000"/>
          <w:sz w:val="28"/>
          <w:szCs w:val="28"/>
          <w:lang w:eastAsia="uk-UA"/>
        </w:rPr>
      </w:pPr>
      <w:r w:rsidRPr="00D46FF6">
        <w:rPr>
          <w:rFonts w:ascii="Times New Roman" w:eastAsia="Times New Roman" w:hAnsi="Times New Roman" w:cs="Times New Roman"/>
          <w:color w:val="FF0000"/>
          <w:sz w:val="28"/>
          <w:szCs w:val="28"/>
          <w:lang w:eastAsia="uk-UA"/>
        </w:rPr>
        <w:t>У разі неможливості отримання актуальної фінансової звітності суб’єкта господарювання значення параметра K140 визначається на підставі останньої наявної фінансової звітності.</w:t>
      </w:r>
    </w:p>
    <w:p w:rsidR="00D46FF6" w:rsidRDefault="00D46FF6" w:rsidP="00D46FF6">
      <w:pPr>
        <w:tabs>
          <w:tab w:val="left" w:pos="851"/>
        </w:tabs>
        <w:spacing w:after="0" w:line="240" w:lineRule="auto"/>
        <w:ind w:firstLine="567"/>
        <w:jc w:val="both"/>
        <w:rPr>
          <w:rFonts w:ascii="Times New Roman" w:eastAsia="Times New Roman" w:hAnsi="Times New Roman" w:cs="Times New Roman"/>
          <w:color w:val="FF0000"/>
          <w:sz w:val="28"/>
          <w:szCs w:val="28"/>
          <w:lang w:eastAsia="uk-UA"/>
        </w:rPr>
      </w:pPr>
      <w:r w:rsidRPr="00D46FF6">
        <w:rPr>
          <w:rFonts w:ascii="Times New Roman" w:eastAsia="Times New Roman" w:hAnsi="Times New Roman" w:cs="Times New Roman"/>
          <w:color w:val="FF0000"/>
          <w:sz w:val="28"/>
          <w:szCs w:val="28"/>
          <w:lang w:eastAsia="uk-UA"/>
        </w:rPr>
        <w:t>б) значення параметра K140=9 зазначається для фізичних осіб, банків, бюджетних установ, громадських організацій, нерезидентів та у разі</w:t>
      </w:r>
      <w:r w:rsidRPr="00D46FF6">
        <w:rPr>
          <w:color w:val="FF0000"/>
        </w:rPr>
        <w:t xml:space="preserve"> </w:t>
      </w:r>
      <w:r w:rsidRPr="00D46FF6">
        <w:rPr>
          <w:rFonts w:ascii="Times New Roman" w:eastAsia="Times New Roman" w:hAnsi="Times New Roman" w:cs="Times New Roman"/>
          <w:color w:val="FF0000"/>
          <w:sz w:val="28"/>
          <w:szCs w:val="28"/>
          <w:lang w:eastAsia="uk-UA"/>
        </w:rPr>
        <w:t>неможливості отримання банком необхідної інформації для визначення розміру суб’єкта господарювання.</w:t>
      </w:r>
      <w:r>
        <w:rPr>
          <w:rFonts w:ascii="Times New Roman" w:eastAsia="Times New Roman" w:hAnsi="Times New Roman" w:cs="Times New Roman"/>
          <w:color w:val="FF0000"/>
          <w:sz w:val="28"/>
          <w:szCs w:val="28"/>
          <w:lang w:eastAsia="uk-UA"/>
        </w:rPr>
        <w:t xml:space="preserve"> </w:t>
      </w:r>
    </w:p>
    <w:p w:rsidR="00D46FF6" w:rsidRPr="00D46FF6" w:rsidRDefault="00D46FF6" w:rsidP="00D46FF6">
      <w:pPr>
        <w:tabs>
          <w:tab w:val="left" w:pos="851"/>
        </w:tabs>
        <w:spacing w:after="0" w:line="240" w:lineRule="auto"/>
        <w:ind w:firstLine="567"/>
        <w:jc w:val="both"/>
        <w:rPr>
          <w:rFonts w:ascii="Times New Roman" w:eastAsia="Times New Roman" w:hAnsi="Times New Roman" w:cs="Times New Roman"/>
          <w:color w:val="FF0000"/>
          <w:sz w:val="28"/>
          <w:szCs w:val="28"/>
          <w:lang w:eastAsia="uk-UA"/>
        </w:rPr>
      </w:pPr>
      <w:r w:rsidRPr="00D46FF6">
        <w:rPr>
          <w:rFonts w:ascii="Times New Roman" w:eastAsia="Times New Roman" w:hAnsi="Times New Roman" w:cs="Times New Roman"/>
          <w:color w:val="FF0000"/>
          <w:sz w:val="28"/>
          <w:szCs w:val="28"/>
          <w:lang w:eastAsia="uk-UA"/>
        </w:rPr>
        <w:t xml:space="preserve">Для сум (обсягів) депозитів і процентних ставок за ними (показник AF44F2) параметр приймає значення </w:t>
      </w:r>
      <w:r w:rsidRPr="00D46FF6">
        <w:rPr>
          <w:rFonts w:ascii="Times New Roman" w:eastAsia="Times New Roman" w:hAnsi="Times New Roman" w:cs="Times New Roman"/>
          <w:color w:val="FF0000"/>
          <w:sz w:val="28"/>
          <w:szCs w:val="28"/>
          <w:lang w:eastAsia="uk-UA"/>
        </w:rPr>
        <w:t>«9».</w:t>
      </w:r>
      <w:bookmarkStart w:id="0" w:name="_GoBack"/>
      <w:bookmarkEnd w:id="0"/>
    </w:p>
    <w:p w:rsidR="002B2455" w:rsidRPr="002C3737" w:rsidRDefault="002B2455" w:rsidP="00305E9A">
      <w:pPr>
        <w:tabs>
          <w:tab w:val="left" w:pos="1134"/>
        </w:tabs>
        <w:spacing w:after="0" w:line="240" w:lineRule="auto"/>
        <w:jc w:val="both"/>
        <w:rPr>
          <w:rFonts w:ascii="Times New Roman" w:eastAsia="Times New Roman" w:hAnsi="Times New Roman" w:cs="Times New Roman"/>
          <w:sz w:val="28"/>
          <w:szCs w:val="28"/>
          <w:lang w:eastAsia="uk-UA"/>
        </w:rPr>
      </w:pPr>
    </w:p>
    <w:p w:rsidR="00D92C01" w:rsidRPr="002C3737" w:rsidRDefault="00F23AA5"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b/>
          <w:sz w:val="28"/>
          <w:szCs w:val="28"/>
          <w:lang w:eastAsia="uk-UA"/>
        </w:rPr>
      </w:pPr>
      <w:r w:rsidRPr="002C3737">
        <w:rPr>
          <w:rFonts w:ascii="Times New Roman" w:eastAsia="Times New Roman" w:hAnsi="Times New Roman" w:cs="Times New Roman"/>
          <w:sz w:val="28"/>
          <w:szCs w:val="28"/>
          <w:lang w:eastAsia="uk-UA"/>
        </w:rPr>
        <w:t xml:space="preserve">Звітні дані </w:t>
      </w:r>
      <w:r w:rsidR="003D23D2" w:rsidRPr="002C3737">
        <w:rPr>
          <w:rFonts w:ascii="Times New Roman" w:eastAsia="Times New Roman" w:hAnsi="Times New Roman" w:cs="Times New Roman"/>
          <w:sz w:val="28"/>
          <w:szCs w:val="28"/>
          <w:lang w:eastAsia="uk-UA"/>
        </w:rPr>
        <w:t xml:space="preserve">файла </w:t>
      </w:r>
      <w:r w:rsidR="003D23D2" w:rsidRPr="002C3737">
        <w:rPr>
          <w:rFonts w:ascii="Times New Roman" w:eastAsia="Times New Roman" w:hAnsi="Times New Roman" w:cs="Times New Roman"/>
          <w:sz w:val="28"/>
          <w:szCs w:val="28"/>
          <w:lang w:val="en-US" w:eastAsia="uk-UA"/>
        </w:rPr>
        <w:t>F</w:t>
      </w:r>
      <w:r w:rsidR="003D23D2" w:rsidRPr="002C3737">
        <w:rPr>
          <w:rFonts w:ascii="Times New Roman" w:eastAsia="Times New Roman" w:hAnsi="Times New Roman" w:cs="Times New Roman"/>
          <w:sz w:val="28"/>
          <w:szCs w:val="28"/>
          <w:lang w:val="ru-RU" w:eastAsia="uk-UA"/>
        </w:rPr>
        <w:t>4</w:t>
      </w:r>
      <w:r w:rsidR="003D23D2" w:rsidRPr="002C3737">
        <w:rPr>
          <w:rFonts w:ascii="Times New Roman" w:eastAsia="Times New Roman" w:hAnsi="Times New Roman" w:cs="Times New Roman"/>
          <w:sz w:val="28"/>
          <w:szCs w:val="28"/>
          <w:lang w:val="en-US" w:eastAsia="uk-UA"/>
        </w:rPr>
        <w:t>X</w:t>
      </w:r>
      <w:r w:rsidR="003D23D2"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включають суми наданих кредитів і залучених депозитів протягом звітного місяця, а також процентні ставки за ними</w:t>
      </w:r>
      <w:r w:rsidR="00D73711" w:rsidRPr="002C3737">
        <w:rPr>
          <w:rFonts w:ascii="Times New Roman" w:eastAsia="Times New Roman" w:hAnsi="Times New Roman" w:cs="Times New Roman"/>
          <w:sz w:val="28"/>
          <w:szCs w:val="28"/>
          <w:lang w:val="ru-RU" w:eastAsia="uk-UA"/>
        </w:rPr>
        <w:t>, у тому числі інформацію про складові розрахунку змінюваних процентних ставок</w:t>
      </w:r>
      <w:r w:rsidR="002B2455" w:rsidRPr="002C3737">
        <w:rPr>
          <w:rFonts w:ascii="Times New Roman" w:eastAsia="Times New Roman" w:hAnsi="Times New Roman" w:cs="Times New Roman"/>
          <w:sz w:val="28"/>
          <w:szCs w:val="28"/>
          <w:lang w:val="ru-RU" w:eastAsia="uk-UA"/>
        </w:rPr>
        <w:t xml:space="preserve"> за договорами</w:t>
      </w:r>
      <w:r w:rsidRPr="002C3737">
        <w:rPr>
          <w:rFonts w:ascii="Times New Roman" w:eastAsia="Times New Roman" w:hAnsi="Times New Roman" w:cs="Times New Roman"/>
          <w:sz w:val="28"/>
          <w:szCs w:val="28"/>
          <w:lang w:eastAsia="uk-UA"/>
        </w:rPr>
        <w:t>.</w:t>
      </w:r>
    </w:p>
    <w:p w:rsidR="009A462F" w:rsidRPr="002C3737" w:rsidRDefault="009A462F" w:rsidP="00EC38CA">
      <w:pPr>
        <w:pStyle w:val="a3"/>
        <w:tabs>
          <w:tab w:val="left" w:pos="1134"/>
        </w:tabs>
        <w:spacing w:line="240" w:lineRule="auto"/>
        <w:ind w:left="0" w:firstLine="567"/>
        <w:jc w:val="both"/>
        <w:rPr>
          <w:rFonts w:ascii="Times New Roman" w:eastAsia="Times New Roman" w:hAnsi="Times New Roman" w:cs="Times New Roman"/>
          <w:b/>
          <w:sz w:val="28"/>
          <w:szCs w:val="28"/>
          <w:lang w:eastAsia="uk-UA"/>
        </w:rPr>
      </w:pPr>
    </w:p>
    <w:p w:rsidR="00F23AA5" w:rsidRPr="002C3737" w:rsidRDefault="00F23AA5"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У звітних даних враховуються суми та процентні ставки за первинними кредитними або депозитними договорами, укладеними протягом звітного місяця, а також суми та процентні ставки за додатковими (у тому числі </w:t>
      </w:r>
      <w:r w:rsidRPr="002C3737">
        <w:rPr>
          <w:rFonts w:ascii="Times New Roman" w:eastAsia="Times New Roman" w:hAnsi="Times New Roman" w:cs="Times New Roman"/>
          <w:sz w:val="28"/>
          <w:szCs w:val="28"/>
          <w:lang w:eastAsia="uk-UA"/>
        </w:rPr>
        <w:lastRenderedPageBreak/>
        <w:t>пролонгованими) кредитними або депозитними договорами, за якими відбулася зміна або суми, або процентної ставки, або суми та процентної ставки. Якщо зміна або процентної ставки, або суми, або суми та процентної ставки відбулася за додатковим договором, то у звіті відображається сума, на яку укладається додатковий договір, строк і процентна ставка за ним. Інформація за пролонгованими договорами за операціями не надається в разі продовження строку за договором без зміни суми та процентної ставки. У звітні дані не включаються суми за розрахунковими операціями.</w:t>
      </w:r>
    </w:p>
    <w:p w:rsidR="00201B90" w:rsidRPr="002C3737" w:rsidRDefault="00201B90" w:rsidP="00EC38CA">
      <w:pPr>
        <w:pStyle w:val="a3"/>
        <w:tabs>
          <w:tab w:val="left" w:pos="1134"/>
        </w:tabs>
        <w:spacing w:line="240" w:lineRule="auto"/>
        <w:ind w:left="0" w:firstLine="567"/>
        <w:rPr>
          <w:rFonts w:ascii="Times New Roman" w:eastAsia="Times New Roman" w:hAnsi="Times New Roman" w:cs="Times New Roman"/>
          <w:sz w:val="28"/>
          <w:szCs w:val="28"/>
          <w:lang w:eastAsia="uk-UA"/>
        </w:rPr>
      </w:pPr>
    </w:p>
    <w:p w:rsidR="00F23AA5"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Дані щодо сум кредитів, наданих в іноземній валюті, і депозитів, залучених в іноземній валюті, відображаються в гривневому еквіваленті, що перераховані за офіційним курсом гривні до іноземних валют, установленим Національним банком, за кожним кодом валют за кожний операційний день; сума курсових різниць не включається.</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0A402D"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У файлі за метрикою </w:t>
      </w:r>
      <w:r w:rsidRPr="002C3737">
        <w:rPr>
          <w:rFonts w:ascii="Times New Roman" w:eastAsia="Times New Roman" w:hAnsi="Times New Roman" w:cs="Times New Roman"/>
          <w:sz w:val="28"/>
          <w:szCs w:val="28"/>
          <w:lang w:val="en-US" w:eastAsia="uk-UA"/>
        </w:rPr>
        <w:t>T</w:t>
      </w:r>
      <w:r w:rsidRPr="002C3737">
        <w:rPr>
          <w:rFonts w:ascii="Times New Roman" w:eastAsia="Times New Roman" w:hAnsi="Times New Roman" w:cs="Times New Roman"/>
          <w:sz w:val="28"/>
          <w:szCs w:val="28"/>
          <w:lang w:val="ru-RU" w:eastAsia="uk-UA"/>
        </w:rPr>
        <w:t xml:space="preserve">090 </w:t>
      </w:r>
      <w:r w:rsidR="00544194" w:rsidRPr="002C3737">
        <w:rPr>
          <w:rFonts w:ascii="Times New Roman" w:eastAsia="Times New Roman" w:hAnsi="Times New Roman" w:cs="Times New Roman"/>
          <w:sz w:val="28"/>
          <w:szCs w:val="28"/>
          <w:lang w:eastAsia="uk-UA"/>
        </w:rPr>
        <w:t>відображається сукупний розмір винагороди (реальна плата за кредит/депозит), що визначений у кредитному/депозитному договорі, з урахуванням як плати за користування наданими/залученими коштами у вигляді процентної ставки, так і будь-яких інших доходів (комісій), установлених у вигляді фіксованої суми або у відсотках до суми договору, що сплачуються позичальником/банком у зв’язку з ініціюванням, отриманням, обслуговуванням та погашенням кредиту або залученням, використанням, поверненням депозиту, у процентах річних. У разі встановлення банками плати за користування коштами лише у фіксованій сумі у звітності за формою відображається плата в перерахунку до суми коштів, зазначеної в договорі, у процентах річних.</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Процентна ставка за кредитами або депозитами розраховується як середньозважена величина процентних ставок за обсягами фактично наданих і пролонгованих кредитів або фактично залучених і пролонгованих депозитів у національній та іноземній валюті в річному обчисленні за такою формулою:</w:t>
      </w:r>
    </w:p>
    <w:p w:rsidR="009A462F" w:rsidRPr="002C3737" w:rsidRDefault="009A462F"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544194" w:rsidRPr="002C3737" w:rsidRDefault="00544194"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p  = ΣP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 xml:space="preserve"> </w:t>
      </w:r>
      <w:r w:rsidRPr="002C3737">
        <w:rPr>
          <w:rFonts w:ascii="Times New Roman" w:eastAsia="Times New Roman" w:hAnsi="Times New Roman" w:cs="Times New Roman"/>
          <w:sz w:val="28"/>
          <w:szCs w:val="28"/>
          <w:lang w:eastAsia="uk-UA"/>
        </w:rPr>
        <w:t>/</w:t>
      </w:r>
      <w:r w:rsidRPr="002C3737">
        <w:rPr>
          <w:rFonts w:ascii="Times New Roman" w:eastAsia="Times New Roman" w:hAnsi="Times New Roman" w:cs="Times New Roman"/>
          <w:i/>
          <w:sz w:val="28"/>
          <w:szCs w:val="28"/>
          <w:lang w:eastAsia="uk-UA"/>
        </w:rPr>
        <w:t xml:space="preserve"> ΣV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 xml:space="preserve"> </w:t>
      </w:r>
      <w:r w:rsidR="008F659A" w:rsidRPr="002C3737">
        <w:rPr>
          <w:rFonts w:ascii="Times New Roman" w:eastAsia="Times New Roman" w:hAnsi="Times New Roman" w:cs="Times New Roman"/>
          <w:sz w:val="28"/>
          <w:szCs w:val="28"/>
          <w:lang w:eastAsia="uk-UA"/>
        </w:rPr>
        <w:t>,</w:t>
      </w:r>
    </w:p>
    <w:p w:rsidR="009A462F" w:rsidRPr="002C3737" w:rsidRDefault="009A462F"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544194" w:rsidRPr="002C373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де </w:t>
      </w: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sz w:val="28"/>
          <w:szCs w:val="28"/>
          <w:lang w:eastAsia="uk-UA"/>
        </w:rPr>
        <w:t xml:space="preserve"> – середньозважена процентна ставка за кредитами/депозитами;</w:t>
      </w:r>
    </w:p>
    <w:p w:rsidR="00544194" w:rsidRPr="002C373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процентна ставка за n-м кредитним/депозитним договором; </w:t>
      </w:r>
    </w:p>
    <w:p w:rsidR="00544194" w:rsidRPr="002C373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сума (обсяг) кредитів за n-м кредитним/депозитним договором.</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За рахунками, які включаються до форми, облік оборотів за кредитами/депозитами необхідно вести за параметром D020, який дає змогу розподілити обороти за балансовим рахунком таким чином: </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обороти за кредитами, фактично наданими/обороти за депозитами (вкладами), фактично залученими; </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обороти за пролонгованими кредитами/депозитами (зі зміною суми кредиту, під якою слід розуміти наявність позитивної різниці між сумою за додатковим договором і залишком за первинним договором);</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інші суми за додатковими договорами (у тому числі пролонгованими), за якими відбулася зміна процентної ставки або валюти кредиту/депозиту;</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інші обороти за рахунком.</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8F659A"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Дані про суми кредитів овердрафт, кредитів, наданих з використанням платіжних карток (та їх реквізитів) у вигляді поновлюваної кредитної лінії, наданих протягом місяця, визначаються як сума розрахованих щоденно позитивних різниць між дебетовим сальдо на кінець операційного дня та дебетовим сальдо на початок операційного дня за кожним рахунком клієнта, яка встановилася за місяць. Якщо різниця дебетового сальдо за рахунками клієнта, яка встановилася між кінцем і початком операційного дня, дорівнює нулю або від’ємна, то дані за кредитами овердрафт, кредитами, наданими з використанням платіжних карток (та їх реквізитів) у вигляді поновлюваної кредитної лінії, за цей день не включається в розрахунок.</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У разі внесення клієнтом коштів на депозит та зняття їх протягом одного операційного дня, у звітних даних відображається сума щоденно розрахованих позитивних різниць між сумою залученого та виданого депозиту за кожним рахунком клієнта.</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Розрахункові операції з акредитивами, що обліковуються на рахунках, до звітних даних не включаються, а облік оборотів за ними має відображатися за параметром D020 у частині “інші обороти за рахунком”.</w:t>
      </w:r>
    </w:p>
    <w:p w:rsidR="00730B5A" w:rsidRPr="002C3737" w:rsidRDefault="00730B5A"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За рахунками 2600П, 2620П,</w:t>
      </w:r>
      <w:r w:rsidR="00194A82" w:rsidRPr="002C3737">
        <w:rPr>
          <w:rFonts w:ascii="Times New Roman" w:eastAsia="Times New Roman" w:hAnsi="Times New Roman" w:cs="Times New Roman"/>
          <w:sz w:val="28"/>
          <w:szCs w:val="28"/>
          <w:lang w:val="ru-RU" w:eastAsia="uk-UA"/>
        </w:rPr>
        <w:t xml:space="preserve"> 2621</w:t>
      </w:r>
      <w:r w:rsidR="00194A82" w:rsidRPr="002C3737">
        <w:rPr>
          <w:rFonts w:ascii="Times New Roman" w:eastAsia="Times New Roman" w:hAnsi="Times New Roman" w:cs="Times New Roman"/>
          <w:sz w:val="28"/>
          <w:szCs w:val="28"/>
          <w:lang w:eastAsia="uk-UA"/>
        </w:rPr>
        <w:t>П,</w:t>
      </w:r>
      <w:r w:rsidRPr="002C3737">
        <w:rPr>
          <w:rFonts w:ascii="Times New Roman" w:eastAsia="Times New Roman" w:hAnsi="Times New Roman" w:cs="Times New Roman"/>
          <w:sz w:val="28"/>
          <w:szCs w:val="28"/>
          <w:lang w:eastAsia="uk-UA"/>
        </w:rPr>
        <w:t xml:space="preserve"> 2650П облік оборотів ведеться за параметром R011, який дає змогу розподілити обороти за балансовим рахунком таким чином: </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вкладний (депозитний) рахунок;</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поточний рахунок. </w:t>
      </w:r>
    </w:p>
    <w:p w:rsidR="001B457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У звіт</w:t>
      </w:r>
      <w:r w:rsidR="00303E89" w:rsidRPr="002C3737">
        <w:rPr>
          <w:rFonts w:ascii="Times New Roman" w:eastAsia="Times New Roman" w:hAnsi="Times New Roman" w:cs="Times New Roman"/>
          <w:sz w:val="28"/>
          <w:szCs w:val="28"/>
          <w:lang w:val="ru-RU" w:eastAsia="uk-UA"/>
        </w:rPr>
        <w:t>н</w:t>
      </w:r>
      <w:r w:rsidR="00303E89" w:rsidRPr="002C3737">
        <w:rPr>
          <w:rFonts w:ascii="Times New Roman" w:eastAsia="Times New Roman" w:hAnsi="Times New Roman" w:cs="Times New Roman"/>
          <w:sz w:val="28"/>
          <w:szCs w:val="28"/>
          <w:lang w:eastAsia="uk-UA"/>
        </w:rPr>
        <w:t>і дані</w:t>
      </w:r>
      <w:r w:rsidRPr="002C3737">
        <w:rPr>
          <w:rFonts w:ascii="Times New Roman" w:eastAsia="Times New Roman" w:hAnsi="Times New Roman" w:cs="Times New Roman"/>
          <w:sz w:val="28"/>
          <w:szCs w:val="28"/>
          <w:lang w:eastAsia="uk-UA"/>
        </w:rPr>
        <w:t xml:space="preserve"> не включаються суми за поточними рахунками.</w:t>
      </w:r>
    </w:p>
    <w:p w:rsidR="00B14543" w:rsidRPr="002C3737" w:rsidRDefault="00B14543"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B14543" w:rsidRPr="002C3737" w:rsidRDefault="00B14543"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 </w:t>
      </w:r>
      <w:r w:rsidR="00EC38CA" w:rsidRPr="002C3737">
        <w:rPr>
          <w:rFonts w:ascii="Times New Roman" w:eastAsia="Times New Roman" w:hAnsi="Times New Roman" w:cs="Times New Roman"/>
          <w:sz w:val="28"/>
          <w:szCs w:val="28"/>
          <w:lang w:eastAsia="uk-UA"/>
        </w:rPr>
        <w:t>У файлі за метрикою T090_1 за договорами зі змінюваною процентною ставкою зазначається базова процентна ставка, що була додана до індексу, який був використаний у формулі визначення змінюваної процентної ставки за кредитним/депозитним договором. Якщо умовами договору не передбачено застосування базової ставки для визначення змінюваної процентної ставки, за метрикою T090_1 надається значення «0». За договорами з фіксованою процентною ставкою за метрикою T090_1 надається значення «0»</w:t>
      </w:r>
      <w:r w:rsidR="00680D85" w:rsidRPr="002C3737">
        <w:rPr>
          <w:rFonts w:ascii="Times New Roman" w:eastAsia="Times New Roman" w:hAnsi="Times New Roman" w:cs="Times New Roman"/>
          <w:sz w:val="28"/>
          <w:szCs w:val="28"/>
          <w:lang w:eastAsia="uk-UA"/>
        </w:rPr>
        <w:t>.</w:t>
      </w:r>
    </w:p>
    <w:p w:rsidR="00680D85" w:rsidRPr="002C373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 xml:space="preserve">Наприклад: За умовами договору Банк надає кредит за ставкою у розмірі подвійного індексу </w:t>
      </w:r>
      <w:r w:rsidRPr="002C3737">
        <w:rPr>
          <w:rFonts w:ascii="Times New Roman" w:eastAsia="Times New Roman" w:hAnsi="Times New Roman" w:cs="Times New Roman"/>
          <w:i/>
          <w:sz w:val="28"/>
          <w:szCs w:val="28"/>
          <w:lang w:val="en-US" w:eastAsia="uk-UA"/>
        </w:rPr>
        <w:t>UONIA</w:t>
      </w:r>
      <w:r w:rsidRPr="002C3737">
        <w:rPr>
          <w:rFonts w:ascii="Times New Roman" w:eastAsia="Times New Roman" w:hAnsi="Times New Roman" w:cs="Times New Roman"/>
          <w:i/>
          <w:sz w:val="28"/>
          <w:szCs w:val="28"/>
          <w:lang w:val="ru-RU" w:eastAsia="uk-UA"/>
        </w:rPr>
        <w:t xml:space="preserve"> + 3%</w:t>
      </w:r>
      <w:r w:rsidRPr="002C3737">
        <w:rPr>
          <w:rFonts w:ascii="Times New Roman" w:eastAsia="Times New Roman" w:hAnsi="Times New Roman" w:cs="Times New Roman"/>
          <w:i/>
          <w:sz w:val="28"/>
          <w:szCs w:val="28"/>
          <w:lang w:eastAsia="uk-UA"/>
        </w:rPr>
        <w:t xml:space="preserve"> на день укладення договору.</w:t>
      </w:r>
    </w:p>
    <w:p w:rsidR="00EC38CA"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Базова процентна ставка становить 3%.</w:t>
      </w:r>
    </w:p>
    <w:p w:rsidR="00EC38CA" w:rsidRPr="002C3737" w:rsidRDefault="00EC38CA"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2C3737" w:rsidRDefault="00EC38CA" w:rsidP="004B684C">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Базова процентна ставка за кредитними/депозитними договорами розраховується як середньозважена величина за обсягами фактично наданих і пролонгованих кредитів або фактично залучених і пролонгованих депозитів у національній та іноземній валюті за такою формулою:</w:t>
      </w:r>
    </w:p>
    <w:p w:rsidR="00680D85" w:rsidRPr="002C3737" w:rsidRDefault="00680D85"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p  = ΣP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 xml:space="preserve"> </w:t>
      </w:r>
      <w:r w:rsidRPr="002C3737">
        <w:rPr>
          <w:rFonts w:ascii="Times New Roman" w:eastAsia="Times New Roman" w:hAnsi="Times New Roman" w:cs="Times New Roman"/>
          <w:sz w:val="28"/>
          <w:szCs w:val="28"/>
          <w:lang w:eastAsia="uk-UA"/>
        </w:rPr>
        <w:t>/</w:t>
      </w:r>
      <w:r w:rsidRPr="002C3737">
        <w:rPr>
          <w:rFonts w:ascii="Times New Roman" w:eastAsia="Times New Roman" w:hAnsi="Times New Roman" w:cs="Times New Roman"/>
          <w:i/>
          <w:sz w:val="28"/>
          <w:szCs w:val="28"/>
          <w:lang w:eastAsia="uk-UA"/>
        </w:rPr>
        <w:t xml:space="preserve"> ΣV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 xml:space="preserve"> </w:t>
      </w:r>
      <w:r w:rsidRPr="002C3737">
        <w:rPr>
          <w:rFonts w:ascii="Times New Roman" w:eastAsia="Times New Roman" w:hAnsi="Times New Roman" w:cs="Times New Roman"/>
          <w:sz w:val="28"/>
          <w:szCs w:val="28"/>
          <w:lang w:eastAsia="uk-UA"/>
        </w:rPr>
        <w:t>,</w:t>
      </w: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 xml:space="preserve">де </w:t>
      </w: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sz w:val="28"/>
          <w:szCs w:val="28"/>
          <w:lang w:eastAsia="uk-UA"/>
        </w:rPr>
        <w:t xml:space="preserve"> – середньозважена </w:t>
      </w:r>
      <w:r w:rsidR="00EC38CA" w:rsidRPr="002C3737">
        <w:rPr>
          <w:rFonts w:ascii="Times New Roman" w:eastAsia="Times New Roman" w:hAnsi="Times New Roman" w:cs="Times New Roman"/>
          <w:sz w:val="28"/>
          <w:szCs w:val="28"/>
          <w:lang w:eastAsia="uk-UA"/>
        </w:rPr>
        <w:t>базова ставка</w:t>
      </w:r>
      <w:r w:rsidRPr="002C3737">
        <w:rPr>
          <w:rFonts w:ascii="Times New Roman" w:eastAsia="Times New Roman" w:hAnsi="Times New Roman" w:cs="Times New Roman"/>
          <w:sz w:val="28"/>
          <w:szCs w:val="28"/>
          <w:lang w:eastAsia="uk-UA"/>
        </w:rPr>
        <w:t xml:space="preserve"> за кредитами/депозитами;</w:t>
      </w: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w:t>
      </w:r>
      <w:r w:rsidR="00EC38CA" w:rsidRPr="002C3737">
        <w:rPr>
          <w:rFonts w:ascii="Times New Roman" w:eastAsia="Times New Roman" w:hAnsi="Times New Roman" w:cs="Times New Roman"/>
          <w:sz w:val="28"/>
          <w:szCs w:val="28"/>
          <w:lang w:eastAsia="uk-UA"/>
        </w:rPr>
        <w:t>базова процентна ставка</w:t>
      </w:r>
      <w:r w:rsidRPr="002C3737">
        <w:rPr>
          <w:rFonts w:ascii="Times New Roman" w:eastAsia="Times New Roman" w:hAnsi="Times New Roman" w:cs="Times New Roman"/>
          <w:sz w:val="28"/>
          <w:szCs w:val="28"/>
          <w:lang w:eastAsia="uk-UA"/>
        </w:rPr>
        <w:t xml:space="preserve"> за n-м кредитним/депозитним договором; </w:t>
      </w:r>
    </w:p>
    <w:p w:rsidR="00680D85" w:rsidRPr="002C373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сума (обсяг) за n-м кредитним/депозитним договором.</w:t>
      </w:r>
    </w:p>
    <w:p w:rsidR="00680D85" w:rsidRPr="002C373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2C3737" w:rsidRDefault="004B684C" w:rsidP="004B684C">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У файлі за метрикою T090_2 за договорами зі змінюваною процентною ставкою надається коефіцієнт, що був помножений на значення індексу, який був використаний у формулі визначення змінюваної процентної ставки за кредитним/депозитним договором. Якщо умовами договору не передбачено застосування коефіцієнта для визначення змінюваної процентної ставки, за метрикою T090_2 надається значення «1». За договорами з фіксованою процентною ставкою за метрикою T090_2 надається значення «1».</w:t>
      </w:r>
    </w:p>
    <w:p w:rsidR="004B684C" w:rsidRPr="002C3737" w:rsidRDefault="004B684C" w:rsidP="00EC38CA">
      <w:pPr>
        <w:tabs>
          <w:tab w:val="left" w:pos="1134"/>
        </w:tabs>
        <w:spacing w:after="0" w:line="240" w:lineRule="auto"/>
        <w:contextualSpacing/>
        <w:jc w:val="both"/>
        <w:rPr>
          <w:rFonts w:ascii="Times New Roman" w:eastAsia="Times New Roman" w:hAnsi="Times New Roman" w:cs="Times New Roman"/>
          <w:sz w:val="28"/>
          <w:szCs w:val="28"/>
          <w:lang w:eastAsia="uk-UA"/>
        </w:rPr>
      </w:pPr>
    </w:p>
    <w:p w:rsidR="00EC38CA"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 xml:space="preserve">Наприклад: За умовами договору Банк залучає депозит за ставкою у розмірі подвійного індексу UONIA на день укладення договору. </w:t>
      </w:r>
    </w:p>
    <w:p w:rsidR="00EC38CA"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Коефіцієнт становить 2.</w:t>
      </w:r>
    </w:p>
    <w:p w:rsidR="00EC38CA" w:rsidRPr="002C3737" w:rsidRDefault="00EC38CA"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2C3737" w:rsidRDefault="00EC38CA" w:rsidP="004B684C">
      <w:pPr>
        <w:pStyle w:val="a3"/>
        <w:numPr>
          <w:ilvl w:val="0"/>
          <w:numId w:val="9"/>
        </w:numPr>
        <w:tabs>
          <w:tab w:val="left" w:pos="1134"/>
        </w:tabs>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Коефіцієнт за кредитними/депозитними договорами розраховується як середньозважена величина за обсягами фактично наданих і пролонгованих кредитів або фактично залучених і пролонгованих депозитів у національній та іноземній валюті за такою формулою:</w:t>
      </w:r>
    </w:p>
    <w:p w:rsidR="00680D85" w:rsidRPr="002C3737" w:rsidRDefault="00680D85"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680D85"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 xml:space="preserve">p </w:t>
      </w:r>
      <w:r w:rsidR="00680D85" w:rsidRPr="002C3737">
        <w:rPr>
          <w:rFonts w:ascii="Times New Roman" w:eastAsia="Times New Roman" w:hAnsi="Times New Roman" w:cs="Times New Roman"/>
          <w:i/>
          <w:sz w:val="28"/>
          <w:szCs w:val="28"/>
          <w:lang w:eastAsia="uk-UA"/>
        </w:rPr>
        <w:t>= ΣP</w:t>
      </w:r>
      <w:r w:rsidR="00680D85" w:rsidRPr="002C3737">
        <w:rPr>
          <w:rFonts w:ascii="Times New Roman" w:eastAsia="Times New Roman" w:hAnsi="Times New Roman" w:cs="Times New Roman"/>
          <w:i/>
          <w:sz w:val="28"/>
          <w:szCs w:val="28"/>
          <w:vertAlign w:val="subscript"/>
          <w:lang w:eastAsia="uk-UA"/>
        </w:rPr>
        <w:t>n</w:t>
      </w:r>
      <w:r w:rsidR="00680D85" w:rsidRPr="002C3737">
        <w:rPr>
          <w:rFonts w:ascii="Times New Roman" w:eastAsia="Times New Roman" w:hAnsi="Times New Roman" w:cs="Times New Roman"/>
          <w:i/>
          <w:sz w:val="28"/>
          <w:szCs w:val="28"/>
          <w:lang w:eastAsia="uk-UA"/>
        </w:rPr>
        <w:t>V</w:t>
      </w:r>
      <w:r w:rsidR="00680D85" w:rsidRPr="002C3737">
        <w:rPr>
          <w:rFonts w:ascii="Times New Roman" w:eastAsia="Times New Roman" w:hAnsi="Times New Roman" w:cs="Times New Roman"/>
          <w:i/>
          <w:sz w:val="28"/>
          <w:szCs w:val="28"/>
          <w:vertAlign w:val="subscript"/>
          <w:lang w:eastAsia="uk-UA"/>
        </w:rPr>
        <w:t>n</w:t>
      </w:r>
      <w:r w:rsidR="00680D85" w:rsidRPr="002C3737">
        <w:rPr>
          <w:rFonts w:ascii="Times New Roman" w:eastAsia="Times New Roman" w:hAnsi="Times New Roman" w:cs="Times New Roman"/>
          <w:i/>
          <w:sz w:val="28"/>
          <w:szCs w:val="28"/>
          <w:lang w:eastAsia="uk-UA"/>
        </w:rPr>
        <w:t xml:space="preserve"> </w:t>
      </w:r>
      <w:r w:rsidR="00680D85" w:rsidRPr="002C3737">
        <w:rPr>
          <w:rFonts w:ascii="Times New Roman" w:eastAsia="Times New Roman" w:hAnsi="Times New Roman" w:cs="Times New Roman"/>
          <w:sz w:val="28"/>
          <w:szCs w:val="28"/>
          <w:lang w:eastAsia="uk-UA"/>
        </w:rPr>
        <w:t>/</w:t>
      </w:r>
      <w:r w:rsidR="00680D85" w:rsidRPr="002C3737">
        <w:rPr>
          <w:rFonts w:ascii="Times New Roman" w:eastAsia="Times New Roman" w:hAnsi="Times New Roman" w:cs="Times New Roman"/>
          <w:i/>
          <w:sz w:val="28"/>
          <w:szCs w:val="28"/>
          <w:lang w:eastAsia="uk-UA"/>
        </w:rPr>
        <w:t xml:space="preserve"> ΣV</w:t>
      </w:r>
      <w:r w:rsidR="00680D85" w:rsidRPr="002C3737">
        <w:rPr>
          <w:rFonts w:ascii="Times New Roman" w:eastAsia="Times New Roman" w:hAnsi="Times New Roman" w:cs="Times New Roman"/>
          <w:i/>
          <w:sz w:val="28"/>
          <w:szCs w:val="28"/>
          <w:vertAlign w:val="subscript"/>
          <w:lang w:eastAsia="uk-UA"/>
        </w:rPr>
        <w:t>n</w:t>
      </w:r>
      <w:r w:rsidR="00680D85" w:rsidRPr="002C3737">
        <w:rPr>
          <w:rFonts w:ascii="Times New Roman" w:eastAsia="Times New Roman" w:hAnsi="Times New Roman" w:cs="Times New Roman"/>
          <w:i/>
          <w:sz w:val="28"/>
          <w:szCs w:val="28"/>
          <w:lang w:eastAsia="uk-UA"/>
        </w:rPr>
        <w:t xml:space="preserve"> </w:t>
      </w:r>
      <w:r w:rsidR="00680D85" w:rsidRPr="002C3737">
        <w:rPr>
          <w:rFonts w:ascii="Times New Roman" w:eastAsia="Times New Roman" w:hAnsi="Times New Roman" w:cs="Times New Roman"/>
          <w:sz w:val="28"/>
          <w:szCs w:val="28"/>
          <w:lang w:eastAsia="uk-UA"/>
        </w:rPr>
        <w:t>,</w:t>
      </w: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де </w:t>
      </w: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sz w:val="28"/>
          <w:szCs w:val="28"/>
          <w:lang w:eastAsia="uk-UA"/>
        </w:rPr>
        <w:t xml:space="preserve"> – середньозважен</w:t>
      </w:r>
      <w:r w:rsidR="006D0095" w:rsidRPr="002C3737">
        <w:rPr>
          <w:rFonts w:ascii="Times New Roman" w:eastAsia="Times New Roman" w:hAnsi="Times New Roman" w:cs="Times New Roman"/>
          <w:sz w:val="28"/>
          <w:szCs w:val="28"/>
          <w:lang w:eastAsia="uk-UA"/>
        </w:rPr>
        <w:t>ий</w:t>
      </w:r>
      <w:r w:rsidRPr="002C3737">
        <w:rPr>
          <w:rFonts w:ascii="Times New Roman" w:eastAsia="Times New Roman" w:hAnsi="Times New Roman" w:cs="Times New Roman"/>
          <w:sz w:val="28"/>
          <w:szCs w:val="28"/>
          <w:lang w:eastAsia="uk-UA"/>
        </w:rPr>
        <w:t xml:space="preserve"> </w:t>
      </w:r>
      <w:r w:rsidR="006D0095" w:rsidRPr="002C3737">
        <w:rPr>
          <w:rFonts w:ascii="Times New Roman" w:eastAsia="Times New Roman" w:hAnsi="Times New Roman" w:cs="Times New Roman"/>
          <w:sz w:val="28"/>
          <w:szCs w:val="28"/>
          <w:lang w:eastAsia="uk-UA"/>
        </w:rPr>
        <w:t>коефіцієнт</w:t>
      </w:r>
      <w:r w:rsidRPr="002C3737">
        <w:rPr>
          <w:rFonts w:ascii="Times New Roman" w:eastAsia="Times New Roman" w:hAnsi="Times New Roman" w:cs="Times New Roman"/>
          <w:sz w:val="28"/>
          <w:szCs w:val="28"/>
          <w:lang w:eastAsia="uk-UA"/>
        </w:rPr>
        <w:t xml:space="preserve"> за кредитами/депозитами;</w:t>
      </w: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w:t>
      </w:r>
      <w:r w:rsidR="006D0095" w:rsidRPr="002C3737">
        <w:rPr>
          <w:rFonts w:ascii="Times New Roman" w:eastAsia="Times New Roman" w:hAnsi="Times New Roman" w:cs="Times New Roman"/>
          <w:sz w:val="28"/>
          <w:szCs w:val="28"/>
          <w:lang w:eastAsia="uk-UA"/>
        </w:rPr>
        <w:t>коефіцієнт</w:t>
      </w:r>
      <w:r w:rsidRPr="002C3737">
        <w:rPr>
          <w:rFonts w:ascii="Times New Roman" w:eastAsia="Times New Roman" w:hAnsi="Times New Roman" w:cs="Times New Roman"/>
          <w:sz w:val="28"/>
          <w:szCs w:val="28"/>
          <w:lang w:eastAsia="uk-UA"/>
        </w:rPr>
        <w:t xml:space="preserve"> за n-м кредитним/депозитним договором; </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сума (обсяг) за n-м кредитним/депозитним договором.</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sectPr w:rsidR="00680D85" w:rsidRPr="001F79C7" w:rsidSect="00927CCD">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C2E" w:rsidRDefault="00A45C2E" w:rsidP="00DD2EDB">
      <w:pPr>
        <w:spacing w:after="0" w:line="240" w:lineRule="auto"/>
      </w:pPr>
      <w:r>
        <w:separator/>
      </w:r>
    </w:p>
  </w:endnote>
  <w:endnote w:type="continuationSeparator" w:id="0">
    <w:p w:rsidR="00A45C2E" w:rsidRDefault="00A45C2E" w:rsidP="00DD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C2E" w:rsidRDefault="00A45C2E" w:rsidP="00DD2EDB">
      <w:pPr>
        <w:spacing w:after="0" w:line="240" w:lineRule="auto"/>
      </w:pPr>
      <w:r>
        <w:separator/>
      </w:r>
    </w:p>
  </w:footnote>
  <w:footnote w:type="continuationSeparator" w:id="0">
    <w:p w:rsidR="00A45C2E" w:rsidRDefault="00A45C2E" w:rsidP="00DD2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D3B"/>
    <w:multiLevelType w:val="hybridMultilevel"/>
    <w:tmpl w:val="24EE1F56"/>
    <w:lvl w:ilvl="0" w:tplc="04220011">
      <w:start w:val="1"/>
      <w:numFmt w:val="decimal"/>
      <w:lvlText w:val="%1)"/>
      <w:lvlJc w:val="left"/>
      <w:pPr>
        <w:ind w:left="5039" w:hanging="360"/>
      </w:p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1"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D05BB3"/>
    <w:multiLevelType w:val="hybridMultilevel"/>
    <w:tmpl w:val="61C07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8286CF3"/>
    <w:multiLevelType w:val="multilevel"/>
    <w:tmpl w:val="C79C2CF2"/>
    <w:lvl w:ilvl="0">
      <w:start w:val="4"/>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F85240"/>
    <w:multiLevelType w:val="hybridMultilevel"/>
    <w:tmpl w:val="79866B10"/>
    <w:lvl w:ilvl="0" w:tplc="842C0F94">
      <w:start w:val="1"/>
      <w:numFmt w:val="decimal"/>
      <w:lvlText w:val="%1."/>
      <w:lvlJc w:val="left"/>
      <w:pPr>
        <w:ind w:left="644" w:hanging="360"/>
      </w:pPr>
      <w:rPr>
        <w:b w:val="0"/>
      </w:rPr>
    </w:lvl>
    <w:lvl w:ilvl="1" w:tplc="430A252C">
      <w:start w:val="1"/>
      <w:numFmt w:val="decimal"/>
      <w:lvlText w:val="%2)"/>
      <w:lvlJc w:val="left"/>
      <w:pPr>
        <w:ind w:left="1495"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C65705"/>
    <w:multiLevelType w:val="hybridMultilevel"/>
    <w:tmpl w:val="407C2C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D600B2"/>
    <w:multiLevelType w:val="multilevel"/>
    <w:tmpl w:val="C79C2CF2"/>
    <w:lvl w:ilvl="0">
      <w:start w:val="4"/>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3" w15:restartNumberingAfterBreak="0">
    <w:nsid w:val="39B21FBB"/>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32491C"/>
    <w:multiLevelType w:val="hybridMultilevel"/>
    <w:tmpl w:val="E2AA1986"/>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4A10A3B"/>
    <w:multiLevelType w:val="hybridMultilevel"/>
    <w:tmpl w:val="4E687B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11781E"/>
    <w:multiLevelType w:val="hybridMultilevel"/>
    <w:tmpl w:val="E3086AFE"/>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CEC0892"/>
    <w:multiLevelType w:val="multilevel"/>
    <w:tmpl w:val="C79C2CF2"/>
    <w:lvl w:ilvl="0">
      <w:start w:val="4"/>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61776DC7"/>
    <w:multiLevelType w:val="hybridMultilevel"/>
    <w:tmpl w:val="79866B10"/>
    <w:lvl w:ilvl="0" w:tplc="842C0F94">
      <w:start w:val="1"/>
      <w:numFmt w:val="decimal"/>
      <w:lvlText w:val="%1."/>
      <w:lvlJc w:val="left"/>
      <w:pPr>
        <w:ind w:left="5180" w:hanging="360"/>
      </w:pPr>
      <w:rPr>
        <w:b w:val="0"/>
      </w:rPr>
    </w:lvl>
    <w:lvl w:ilvl="1" w:tplc="430A252C">
      <w:start w:val="1"/>
      <w:numFmt w:val="decimal"/>
      <w:lvlText w:val="%2)"/>
      <w:lvlJc w:val="left"/>
      <w:pPr>
        <w:ind w:left="1495"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142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8"/>
  </w:num>
  <w:num w:numId="3">
    <w:abstractNumId w:val="15"/>
  </w:num>
  <w:num w:numId="4">
    <w:abstractNumId w:val="4"/>
  </w:num>
  <w:num w:numId="5">
    <w:abstractNumId w:val="22"/>
  </w:num>
  <w:num w:numId="6">
    <w:abstractNumId w:val="7"/>
  </w:num>
  <w:num w:numId="7">
    <w:abstractNumId w:val="1"/>
  </w:num>
  <w:num w:numId="8">
    <w:abstractNumId w:val="6"/>
  </w:num>
  <w:num w:numId="9">
    <w:abstractNumId w:val="19"/>
  </w:num>
  <w:num w:numId="10">
    <w:abstractNumId w:val="0"/>
  </w:num>
  <w:num w:numId="11">
    <w:abstractNumId w:val="13"/>
  </w:num>
  <w:num w:numId="12">
    <w:abstractNumId w:val="2"/>
  </w:num>
  <w:num w:numId="13">
    <w:abstractNumId w:val="16"/>
  </w:num>
  <w:num w:numId="14">
    <w:abstractNumId w:val="14"/>
  </w:num>
  <w:num w:numId="15">
    <w:abstractNumId w:val="10"/>
  </w:num>
  <w:num w:numId="16">
    <w:abstractNumId w:val="17"/>
  </w:num>
  <w:num w:numId="17">
    <w:abstractNumId w:val="9"/>
  </w:num>
  <w:num w:numId="18">
    <w:abstractNumId w:val="12"/>
  </w:num>
  <w:num w:numId="19">
    <w:abstractNumId w:val="21"/>
  </w:num>
  <w:num w:numId="20">
    <w:abstractNumId w:val="11"/>
  </w:num>
  <w:num w:numId="21">
    <w:abstractNumId w:val="20"/>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15DF"/>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70DA0"/>
    <w:rsid w:val="00072FAF"/>
    <w:rsid w:val="00074C18"/>
    <w:rsid w:val="00077A5F"/>
    <w:rsid w:val="00085F0E"/>
    <w:rsid w:val="00087F4B"/>
    <w:rsid w:val="000933E1"/>
    <w:rsid w:val="00096BAC"/>
    <w:rsid w:val="00097313"/>
    <w:rsid w:val="0009775A"/>
    <w:rsid w:val="000A402D"/>
    <w:rsid w:val="000A57A1"/>
    <w:rsid w:val="000B1BE8"/>
    <w:rsid w:val="000B2EA4"/>
    <w:rsid w:val="000B5B7C"/>
    <w:rsid w:val="000C18AA"/>
    <w:rsid w:val="000C5C1A"/>
    <w:rsid w:val="000C75B1"/>
    <w:rsid w:val="000D0424"/>
    <w:rsid w:val="000D1100"/>
    <w:rsid w:val="000D1536"/>
    <w:rsid w:val="000D1E1E"/>
    <w:rsid w:val="000D2972"/>
    <w:rsid w:val="000E2DED"/>
    <w:rsid w:val="000E3AF0"/>
    <w:rsid w:val="000E3CC6"/>
    <w:rsid w:val="000F1756"/>
    <w:rsid w:val="001058B5"/>
    <w:rsid w:val="00106238"/>
    <w:rsid w:val="00107965"/>
    <w:rsid w:val="00110089"/>
    <w:rsid w:val="001101F2"/>
    <w:rsid w:val="001201C4"/>
    <w:rsid w:val="00120982"/>
    <w:rsid w:val="001313EC"/>
    <w:rsid w:val="0014572F"/>
    <w:rsid w:val="001464E9"/>
    <w:rsid w:val="00150AFE"/>
    <w:rsid w:val="0015720B"/>
    <w:rsid w:val="00162A3C"/>
    <w:rsid w:val="00164318"/>
    <w:rsid w:val="001808B1"/>
    <w:rsid w:val="00180A93"/>
    <w:rsid w:val="00182B98"/>
    <w:rsid w:val="00187638"/>
    <w:rsid w:val="0019196B"/>
    <w:rsid w:val="00194A82"/>
    <w:rsid w:val="001A3763"/>
    <w:rsid w:val="001A58C0"/>
    <w:rsid w:val="001B3851"/>
    <w:rsid w:val="001B4574"/>
    <w:rsid w:val="001B4A05"/>
    <w:rsid w:val="001C31D9"/>
    <w:rsid w:val="001D2322"/>
    <w:rsid w:val="001D385B"/>
    <w:rsid w:val="001D6E70"/>
    <w:rsid w:val="001D6F93"/>
    <w:rsid w:val="001D780D"/>
    <w:rsid w:val="001E6760"/>
    <w:rsid w:val="001F47A1"/>
    <w:rsid w:val="001F4C5C"/>
    <w:rsid w:val="001F6EFE"/>
    <w:rsid w:val="001F79C7"/>
    <w:rsid w:val="00201B90"/>
    <w:rsid w:val="002058C4"/>
    <w:rsid w:val="00210C33"/>
    <w:rsid w:val="0021163F"/>
    <w:rsid w:val="00211FC8"/>
    <w:rsid w:val="00214A31"/>
    <w:rsid w:val="002170E2"/>
    <w:rsid w:val="00222827"/>
    <w:rsid w:val="002254AD"/>
    <w:rsid w:val="00233834"/>
    <w:rsid w:val="00235D5F"/>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B2455"/>
    <w:rsid w:val="002C3737"/>
    <w:rsid w:val="002D32B0"/>
    <w:rsid w:val="002D5AD9"/>
    <w:rsid w:val="002E0121"/>
    <w:rsid w:val="002E477F"/>
    <w:rsid w:val="002F4ED7"/>
    <w:rsid w:val="002F7670"/>
    <w:rsid w:val="002F790A"/>
    <w:rsid w:val="00303E89"/>
    <w:rsid w:val="0030425E"/>
    <w:rsid w:val="003047F2"/>
    <w:rsid w:val="00305E9A"/>
    <w:rsid w:val="00312CCF"/>
    <w:rsid w:val="003170CD"/>
    <w:rsid w:val="0032018A"/>
    <w:rsid w:val="00321F95"/>
    <w:rsid w:val="0032439E"/>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C7A68"/>
    <w:rsid w:val="003D1DE4"/>
    <w:rsid w:val="003D23D2"/>
    <w:rsid w:val="003D3F65"/>
    <w:rsid w:val="003E07B6"/>
    <w:rsid w:val="003F1241"/>
    <w:rsid w:val="00404CA0"/>
    <w:rsid w:val="00411222"/>
    <w:rsid w:val="0041235A"/>
    <w:rsid w:val="00413744"/>
    <w:rsid w:val="00413EFB"/>
    <w:rsid w:val="00423196"/>
    <w:rsid w:val="00426A59"/>
    <w:rsid w:val="00435495"/>
    <w:rsid w:val="00453C10"/>
    <w:rsid w:val="0045504E"/>
    <w:rsid w:val="00462E53"/>
    <w:rsid w:val="00471506"/>
    <w:rsid w:val="00480FCD"/>
    <w:rsid w:val="00496235"/>
    <w:rsid w:val="004A187E"/>
    <w:rsid w:val="004A5ADA"/>
    <w:rsid w:val="004B684C"/>
    <w:rsid w:val="004B69C9"/>
    <w:rsid w:val="004C251C"/>
    <w:rsid w:val="004C6D73"/>
    <w:rsid w:val="004D0A8B"/>
    <w:rsid w:val="004F0669"/>
    <w:rsid w:val="004F321E"/>
    <w:rsid w:val="004F7486"/>
    <w:rsid w:val="005014C8"/>
    <w:rsid w:val="00503816"/>
    <w:rsid w:val="00505977"/>
    <w:rsid w:val="005075B7"/>
    <w:rsid w:val="00511C18"/>
    <w:rsid w:val="00520E3F"/>
    <w:rsid w:val="00525533"/>
    <w:rsid w:val="00541993"/>
    <w:rsid w:val="00542FB8"/>
    <w:rsid w:val="00544194"/>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B6622"/>
    <w:rsid w:val="005C11E3"/>
    <w:rsid w:val="005C21F7"/>
    <w:rsid w:val="005C35F9"/>
    <w:rsid w:val="005E0337"/>
    <w:rsid w:val="005E62C3"/>
    <w:rsid w:val="005F2EBA"/>
    <w:rsid w:val="005F3BD7"/>
    <w:rsid w:val="005F6E37"/>
    <w:rsid w:val="0060496C"/>
    <w:rsid w:val="00606172"/>
    <w:rsid w:val="0062508D"/>
    <w:rsid w:val="00632D2F"/>
    <w:rsid w:val="00635C56"/>
    <w:rsid w:val="00636323"/>
    <w:rsid w:val="00642A9C"/>
    <w:rsid w:val="006433AC"/>
    <w:rsid w:val="006470BE"/>
    <w:rsid w:val="00652648"/>
    <w:rsid w:val="00654409"/>
    <w:rsid w:val="006572E9"/>
    <w:rsid w:val="00660A6D"/>
    <w:rsid w:val="006626D1"/>
    <w:rsid w:val="00664924"/>
    <w:rsid w:val="006716AA"/>
    <w:rsid w:val="0067185E"/>
    <w:rsid w:val="006775C4"/>
    <w:rsid w:val="00680D85"/>
    <w:rsid w:val="00683655"/>
    <w:rsid w:val="00683AD5"/>
    <w:rsid w:val="00687453"/>
    <w:rsid w:val="00687EF8"/>
    <w:rsid w:val="00692001"/>
    <w:rsid w:val="006A29E7"/>
    <w:rsid w:val="006B5E6A"/>
    <w:rsid w:val="006C411B"/>
    <w:rsid w:val="006C7C2F"/>
    <w:rsid w:val="006D0095"/>
    <w:rsid w:val="006D2E41"/>
    <w:rsid w:val="006D67F2"/>
    <w:rsid w:val="006D70CF"/>
    <w:rsid w:val="006E3379"/>
    <w:rsid w:val="006E3F4E"/>
    <w:rsid w:val="006E7069"/>
    <w:rsid w:val="007075B6"/>
    <w:rsid w:val="00723A70"/>
    <w:rsid w:val="00726FD0"/>
    <w:rsid w:val="00730B5A"/>
    <w:rsid w:val="00731E7C"/>
    <w:rsid w:val="00736DBD"/>
    <w:rsid w:val="007412AC"/>
    <w:rsid w:val="00741D34"/>
    <w:rsid w:val="00744785"/>
    <w:rsid w:val="007465E3"/>
    <w:rsid w:val="0075046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4364"/>
    <w:rsid w:val="008525AD"/>
    <w:rsid w:val="00853690"/>
    <w:rsid w:val="0086664C"/>
    <w:rsid w:val="00867C32"/>
    <w:rsid w:val="008835A0"/>
    <w:rsid w:val="00883B48"/>
    <w:rsid w:val="00891468"/>
    <w:rsid w:val="00891908"/>
    <w:rsid w:val="008A6321"/>
    <w:rsid w:val="008A63DC"/>
    <w:rsid w:val="008B073B"/>
    <w:rsid w:val="008B23A8"/>
    <w:rsid w:val="008B3344"/>
    <w:rsid w:val="008C59B9"/>
    <w:rsid w:val="008E23E6"/>
    <w:rsid w:val="008E3156"/>
    <w:rsid w:val="008E3E3E"/>
    <w:rsid w:val="008E4308"/>
    <w:rsid w:val="008F0868"/>
    <w:rsid w:val="008F090E"/>
    <w:rsid w:val="008F3E81"/>
    <w:rsid w:val="008F659A"/>
    <w:rsid w:val="008F67A7"/>
    <w:rsid w:val="008F71F2"/>
    <w:rsid w:val="00900988"/>
    <w:rsid w:val="0090243B"/>
    <w:rsid w:val="0090689E"/>
    <w:rsid w:val="00911882"/>
    <w:rsid w:val="00914275"/>
    <w:rsid w:val="00926A0C"/>
    <w:rsid w:val="00927CCD"/>
    <w:rsid w:val="009414EA"/>
    <w:rsid w:val="00946C27"/>
    <w:rsid w:val="00950AD1"/>
    <w:rsid w:val="0095559D"/>
    <w:rsid w:val="00970D25"/>
    <w:rsid w:val="009769FC"/>
    <w:rsid w:val="009801C6"/>
    <w:rsid w:val="009802E4"/>
    <w:rsid w:val="009903B1"/>
    <w:rsid w:val="00993DE2"/>
    <w:rsid w:val="009A320C"/>
    <w:rsid w:val="009A33AE"/>
    <w:rsid w:val="009A462F"/>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2323"/>
    <w:rsid w:val="00A4478E"/>
    <w:rsid w:val="00A45C2E"/>
    <w:rsid w:val="00A546F6"/>
    <w:rsid w:val="00A56BE5"/>
    <w:rsid w:val="00A5754B"/>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4B8A"/>
    <w:rsid w:val="00AF7532"/>
    <w:rsid w:val="00AF7E51"/>
    <w:rsid w:val="00B024FC"/>
    <w:rsid w:val="00B0704C"/>
    <w:rsid w:val="00B07A0C"/>
    <w:rsid w:val="00B128D8"/>
    <w:rsid w:val="00B14543"/>
    <w:rsid w:val="00B25C84"/>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A56C2"/>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27E75"/>
    <w:rsid w:val="00C355A9"/>
    <w:rsid w:val="00C4176D"/>
    <w:rsid w:val="00C41F62"/>
    <w:rsid w:val="00C4390E"/>
    <w:rsid w:val="00C467A0"/>
    <w:rsid w:val="00C51F14"/>
    <w:rsid w:val="00C530F9"/>
    <w:rsid w:val="00C53B89"/>
    <w:rsid w:val="00C61D9C"/>
    <w:rsid w:val="00C64C47"/>
    <w:rsid w:val="00C6680D"/>
    <w:rsid w:val="00C74DE4"/>
    <w:rsid w:val="00C823DA"/>
    <w:rsid w:val="00C833E6"/>
    <w:rsid w:val="00CA59B9"/>
    <w:rsid w:val="00CA62CD"/>
    <w:rsid w:val="00CB3C6D"/>
    <w:rsid w:val="00CC1426"/>
    <w:rsid w:val="00CD2D4A"/>
    <w:rsid w:val="00CE4BE8"/>
    <w:rsid w:val="00CF0D0C"/>
    <w:rsid w:val="00CF1A63"/>
    <w:rsid w:val="00CF2512"/>
    <w:rsid w:val="00D048F4"/>
    <w:rsid w:val="00D0601B"/>
    <w:rsid w:val="00D06605"/>
    <w:rsid w:val="00D06A7C"/>
    <w:rsid w:val="00D06CAF"/>
    <w:rsid w:val="00D10AFF"/>
    <w:rsid w:val="00D1182C"/>
    <w:rsid w:val="00D16A76"/>
    <w:rsid w:val="00D1778E"/>
    <w:rsid w:val="00D2156E"/>
    <w:rsid w:val="00D2673D"/>
    <w:rsid w:val="00D30BA4"/>
    <w:rsid w:val="00D420DD"/>
    <w:rsid w:val="00D430A8"/>
    <w:rsid w:val="00D4588A"/>
    <w:rsid w:val="00D46FF6"/>
    <w:rsid w:val="00D53E02"/>
    <w:rsid w:val="00D5558E"/>
    <w:rsid w:val="00D5586E"/>
    <w:rsid w:val="00D5602D"/>
    <w:rsid w:val="00D573D3"/>
    <w:rsid w:val="00D61198"/>
    <w:rsid w:val="00D64483"/>
    <w:rsid w:val="00D720A8"/>
    <w:rsid w:val="00D733DC"/>
    <w:rsid w:val="00D73711"/>
    <w:rsid w:val="00D760DA"/>
    <w:rsid w:val="00D803CF"/>
    <w:rsid w:val="00D86A53"/>
    <w:rsid w:val="00D92C01"/>
    <w:rsid w:val="00D9611A"/>
    <w:rsid w:val="00DA073C"/>
    <w:rsid w:val="00DA1CA9"/>
    <w:rsid w:val="00DA273D"/>
    <w:rsid w:val="00DB1C71"/>
    <w:rsid w:val="00DB609F"/>
    <w:rsid w:val="00DC23F6"/>
    <w:rsid w:val="00DC367B"/>
    <w:rsid w:val="00DC3F05"/>
    <w:rsid w:val="00DD1DB0"/>
    <w:rsid w:val="00DD2EDB"/>
    <w:rsid w:val="00DE0045"/>
    <w:rsid w:val="00DE0364"/>
    <w:rsid w:val="00DE47D5"/>
    <w:rsid w:val="00DE4E7F"/>
    <w:rsid w:val="00DE5F07"/>
    <w:rsid w:val="00DE74CF"/>
    <w:rsid w:val="00DF0FD6"/>
    <w:rsid w:val="00E01826"/>
    <w:rsid w:val="00E03B81"/>
    <w:rsid w:val="00E06D35"/>
    <w:rsid w:val="00E13129"/>
    <w:rsid w:val="00E15427"/>
    <w:rsid w:val="00E20DA4"/>
    <w:rsid w:val="00E30733"/>
    <w:rsid w:val="00E30A83"/>
    <w:rsid w:val="00E441A0"/>
    <w:rsid w:val="00E5173D"/>
    <w:rsid w:val="00E54E10"/>
    <w:rsid w:val="00E573B5"/>
    <w:rsid w:val="00E72F89"/>
    <w:rsid w:val="00E81637"/>
    <w:rsid w:val="00E82C8D"/>
    <w:rsid w:val="00E84463"/>
    <w:rsid w:val="00E84636"/>
    <w:rsid w:val="00E84F08"/>
    <w:rsid w:val="00E86DE7"/>
    <w:rsid w:val="00E92E40"/>
    <w:rsid w:val="00E93FBE"/>
    <w:rsid w:val="00E973B3"/>
    <w:rsid w:val="00EA21DF"/>
    <w:rsid w:val="00EA2B09"/>
    <w:rsid w:val="00EA3CA1"/>
    <w:rsid w:val="00EA4B13"/>
    <w:rsid w:val="00EA5713"/>
    <w:rsid w:val="00EB0AC4"/>
    <w:rsid w:val="00EB4488"/>
    <w:rsid w:val="00EB55B2"/>
    <w:rsid w:val="00EB7ABF"/>
    <w:rsid w:val="00EB7D2B"/>
    <w:rsid w:val="00EC38CA"/>
    <w:rsid w:val="00EC4D62"/>
    <w:rsid w:val="00EC7AA2"/>
    <w:rsid w:val="00ED2848"/>
    <w:rsid w:val="00ED4FA1"/>
    <w:rsid w:val="00EF5049"/>
    <w:rsid w:val="00EF6142"/>
    <w:rsid w:val="00F06A73"/>
    <w:rsid w:val="00F06E7E"/>
    <w:rsid w:val="00F071F9"/>
    <w:rsid w:val="00F14BEE"/>
    <w:rsid w:val="00F2199C"/>
    <w:rsid w:val="00F23AA5"/>
    <w:rsid w:val="00F2647C"/>
    <w:rsid w:val="00F41100"/>
    <w:rsid w:val="00F4519B"/>
    <w:rsid w:val="00F504E2"/>
    <w:rsid w:val="00F5056A"/>
    <w:rsid w:val="00F5232B"/>
    <w:rsid w:val="00F56D57"/>
    <w:rsid w:val="00F577D6"/>
    <w:rsid w:val="00F63841"/>
    <w:rsid w:val="00F71EB1"/>
    <w:rsid w:val="00F72E36"/>
    <w:rsid w:val="00F76201"/>
    <w:rsid w:val="00F777B3"/>
    <w:rsid w:val="00F87A09"/>
    <w:rsid w:val="00F977E9"/>
    <w:rsid w:val="00FA693A"/>
    <w:rsid w:val="00FB4F7B"/>
    <w:rsid w:val="00FB50FF"/>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E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DD2ED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D2EDB"/>
  </w:style>
  <w:style w:type="paragraph" w:styleId="a7">
    <w:name w:val="footer"/>
    <w:basedOn w:val="a"/>
    <w:link w:val="a8"/>
    <w:uiPriority w:val="99"/>
    <w:unhideWhenUsed/>
    <w:rsid w:val="00DD2ED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DD2EDB"/>
  </w:style>
  <w:style w:type="character" w:customStyle="1" w:styleId="a4">
    <w:name w:val="Абзац списку Знак"/>
    <w:link w:val="a3"/>
    <w:uiPriority w:val="34"/>
    <w:locked/>
    <w:rsid w:val="00D4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609356674">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192257313">
      <w:bodyDiv w:val="1"/>
      <w:marLeft w:val="0"/>
      <w:marRight w:val="0"/>
      <w:marTop w:val="0"/>
      <w:marBottom w:val="0"/>
      <w:divBdr>
        <w:top w:val="none" w:sz="0" w:space="0" w:color="auto"/>
        <w:left w:val="none" w:sz="0" w:space="0" w:color="auto"/>
        <w:bottom w:val="none" w:sz="0" w:space="0" w:color="auto"/>
        <w:right w:val="none" w:sz="0" w:space="0" w:color="auto"/>
      </w:divBdr>
    </w:div>
    <w:div w:id="16327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747EE-8EE7-401F-9663-E66B8242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9292</Words>
  <Characters>5298</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2024-10-30T13:03:00Z</dcterms:created>
  <dcterms:modified xsi:type="dcterms:W3CDTF">2025-11-28T12:59:00Z</dcterms:modified>
</cp:coreProperties>
</file>