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4C780" w14:textId="329DB225" w:rsidR="005666BC" w:rsidRPr="00412701" w:rsidRDefault="00690481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2FC64481" w14:textId="79990E87" w:rsidR="005666BC" w:rsidRPr="00412701" w:rsidRDefault="005666BC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="008369DC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0001-IRB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511F8E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1365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643EDBE2" w14:textId="7E47EC55" w:rsidR="005666BC" w:rsidRPr="00412701" w:rsidRDefault="005666BC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97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 «Дані регуляторного балансу</w:t>
      </w:r>
      <w:r w:rsidR="008369D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Зобов'язання та забезпечення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bookmarkEnd w:id="0"/>
    <w:p w14:paraId="5A8650D4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6DD7CC26" w14:textId="06F5F151" w:rsidR="008369DC" w:rsidRPr="00412701" w:rsidRDefault="008369DC" w:rsidP="00A747A3">
      <w:pPr>
        <w:pStyle w:val="a3"/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910270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бухгалтерського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</w:t>
      </w:r>
      <w:r w:rsidR="00531721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обліку зобов’язань та забезпечень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міжнародних стандартів фінансової звітності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47A3" w:rsidRPr="00412701">
        <w:rPr>
          <w:rFonts w:ascii="Times New Roman" w:hAnsi="Times New Roman" w:cs="Times New Roman"/>
          <w:sz w:val="28"/>
          <w:szCs w:val="28"/>
          <w:lang w:eastAsia="uk-UA"/>
        </w:rPr>
        <w:t>з урахуванням вимог нормативно-правових актів Національного банку України щодо забезпечення платоспроможності та інвестиційної діяльності страховика, формування технічних резервів та інших нормативно-правових актів Національного банку України з питань регулювання страхової діяльності.</w:t>
      </w:r>
      <w:r w:rsidR="00660A7D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подаються наростаючим підсумком з початку з</w:t>
      </w:r>
      <w:r w:rsidR="006036D3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вітного року. </w:t>
      </w:r>
    </w:p>
    <w:p w14:paraId="6E2F5B2D" w14:textId="5B4649D7" w:rsidR="006F65B6" w:rsidRDefault="008369DC" w:rsidP="006F65B6">
      <w:pPr>
        <w:pStyle w:val="a3"/>
        <w:numPr>
          <w:ilvl w:val="0"/>
          <w:numId w:val="1"/>
        </w:numPr>
        <w:spacing w:after="12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Pr="00412701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6036D3" w:rsidRPr="0041270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hAnsi="Times New Roman" w:cs="Times New Roman"/>
          <w:sz w:val="28"/>
          <w:szCs w:val="28"/>
          <w:lang w:eastAsia="uk-UA"/>
        </w:rPr>
        <w:t>установленим Національним банком</w:t>
      </w:r>
      <w:r w:rsidR="007E4146" w:rsidRPr="0041270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E414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54A599" w14:textId="7062F721" w:rsidR="00875FD9" w:rsidRDefault="003327AB" w:rsidP="00875FD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28BA8A1" w14:textId="77777777" w:rsidR="00875FD9" w:rsidRPr="006703FC" w:rsidRDefault="00875FD9" w:rsidP="00875FD9">
      <w:pPr>
        <w:pStyle w:val="a3"/>
        <w:spacing w:after="12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ACA7E7" w14:textId="2627C1F6" w:rsidR="006F65B6" w:rsidRPr="003327AB" w:rsidRDefault="006F65B6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C82A5E" w14:textId="1632322A" w:rsidR="005666BC" w:rsidRPr="00412701" w:rsidRDefault="005666BC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IRB3</w:t>
      </w:r>
    </w:p>
    <w:p w14:paraId="1EBB2A29" w14:textId="77777777" w:rsidR="006F65B6" w:rsidRPr="00412701" w:rsidRDefault="006F65B6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E5F8C" w14:textId="77777777" w:rsidR="005666BC" w:rsidRPr="00412701" w:rsidRDefault="005666BC" w:rsidP="00566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</w:p>
    <w:p w14:paraId="59743A07" w14:textId="39B22762" w:rsidR="005666BC" w:rsidRPr="00412701" w:rsidRDefault="005666BC" w:rsidP="007564E5">
      <w:pPr>
        <w:pStyle w:val="1"/>
        <w:numPr>
          <w:ilvl w:val="0"/>
          <w:numId w:val="2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8369D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30001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7564E5" w:rsidRP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Зобов’язання з оренди відповідно до Міжнародного стандарту </w:t>
      </w:r>
      <w:r w:rsid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фінансової звітності 16 </w:t>
      </w:r>
      <w:r w:rsidR="007564E5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7564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Оренда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AE2F2EA" w14:textId="601F0039" w:rsidR="005666BC" w:rsidRPr="00412701" w:rsidRDefault="005666BC" w:rsidP="006F65B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F8DD9B7" w14:textId="25E74B83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F65B6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оренди, визначених відповідно до МСФЗ 16 «Оренда»,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0FE6321A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оренди, визначених відповідно до МСФЗ 16 «Оренда»,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D1CC326" w14:textId="6D4E7570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7564E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23774905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23911D8" w14:textId="2E123005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26E5AD1" w14:textId="77777777" w:rsidR="005666BC" w:rsidRPr="00412701" w:rsidRDefault="005666BC" w:rsidP="006F65B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E9EEB79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9731F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63DE18" w14:textId="2F2E0C4B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2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Технічні 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резерви»</w:t>
      </w:r>
    </w:p>
    <w:p w14:paraId="294BF5A5" w14:textId="7C588DD5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21B73E3" w14:textId="6332E9F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proofErr w:type="spellStart"/>
      <w:r w:rsidR="0068431A" w:rsidRPr="004127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технічних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прямого страхування та в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хідного перестрахування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8431A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сформованих відповідно 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нормативно-правового </w:t>
      </w:r>
      <w:proofErr w:type="spellStart"/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банку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щодо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резервів, на початок звітного періоду.</w:t>
      </w:r>
      <w:r w:rsidR="0068431A" w:rsidRPr="00412701">
        <w:t xml:space="preserve"> </w:t>
      </w:r>
      <w:r w:rsidRPr="00412701">
        <w:t xml:space="preserve"> </w:t>
      </w:r>
    </w:p>
    <w:p w14:paraId="5239A71A" w14:textId="7DE5ACD0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договорами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прямого страхування та в</w:t>
      </w:r>
      <w:r w:rsidR="0068431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хідного перестрахування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сформованих відповідно 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нормативно-правового </w:t>
      </w:r>
      <w:proofErr w:type="spellStart"/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 банку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68431A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684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68431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резервів, на кінець звітного періоду.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8CC6FE8" w14:textId="5857AF22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не повинен дорівнювати значенню відсутності розрізу (≠ #). </w:t>
      </w:r>
    </w:p>
    <w:p w14:paraId="6B0AD9C3" w14:textId="4C1B8B9B" w:rsidR="003653AB" w:rsidRDefault="005666BC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</w:t>
      </w:r>
      <w:r w:rsidR="003653AB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7186915D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значень:</w:t>
      </w:r>
    </w:p>
    <w:p w14:paraId="52838396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04, 07, 08, 11 – незалежно від обраних страховиком моделі/методу/метрики розрахунку відповідного виду технічних резервів, для цих кодів виду резервів заповнення значень є обов’язковим;</w:t>
      </w:r>
    </w:p>
    <w:p w14:paraId="1A5BF36D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03, 10 – для загальної моделі оцінки резерву премій;</w:t>
      </w:r>
    </w:p>
    <w:p w14:paraId="54965F95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05, 06 – для спрощеної моделі оцінки резерву премій;</w:t>
      </w:r>
    </w:p>
    <w:p w14:paraId="27DDBFCE" w14:textId="77777777" w:rsidR="0053768A" w:rsidRPr="003F6C2B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C2B">
        <w:rPr>
          <w:rFonts w:ascii="Times New Roman" w:eastAsia="Times New Roman" w:hAnsi="Times New Roman" w:cs="Times New Roman"/>
          <w:sz w:val="28"/>
          <w:szCs w:val="28"/>
          <w:lang w:eastAsia="uk-UA"/>
        </w:rPr>
        <w:t>14 – для спрощеної моделі оцінки резерву премій для груп обтяжливих договорів;</w:t>
      </w:r>
    </w:p>
    <w:p w14:paraId="0114122A" w14:textId="1C9D637F" w:rsidR="0053768A" w:rsidRPr="007A5822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09, 17 – якщо такий розріз може бути відділений окремо від інших видів технічних резервів у складі резерву збитків, водночас інші види технічних резервів у складі резерву збитків розкриваються у звітності 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09, 17;</w:t>
      </w:r>
    </w:p>
    <w:p w14:paraId="7A097DF1" w14:textId="77777777" w:rsidR="0053768A" w:rsidRPr="007A5822" w:rsidRDefault="0053768A" w:rsidP="00537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12, 13 – якщо такий розріз розраховувався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відділений окремо від інших видів технічних резервів у складі резерву премій або резерву збитків, водночас інші види технічних резервів у складі резерву премій або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12, 13;</w:t>
      </w:r>
    </w:p>
    <w:p w14:paraId="57C7A701" w14:textId="38E357F1" w:rsidR="0053768A" w:rsidRDefault="0053768A" w:rsidP="005376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15, 16 – якщо страховик формує нереалізовані очікувані регреси у складі резерву збитків, водночас інші види технічних резервів у складі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15, 16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B17C5D" w14:textId="129D5BBD" w:rsidR="00AF0A46" w:rsidRPr="00412701" w:rsidRDefault="00AF0A46" w:rsidP="005376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18, 19 – якщо у складі резерву заявлених, але не виплачених збитків, наявні врегульовані заявлені вимоги, за якими прийнято рішення про визнання випадку страховим та розмір страхової виплати / страховик зобов’язаний здійснити повернення суми страхової премії або її частини, але оплата ще не здійснена в повному обсязі. Такі резерви відображаються без урахування ефекту дисконтування та резерву витрат на врегулювання збитків.</w:t>
      </w:r>
    </w:p>
    <w:p w14:paraId="30E3EAFE" w14:textId="2C62C6F0" w:rsidR="005666BC" w:rsidRDefault="005666BC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H033).</w:t>
      </w:r>
    </w:p>
    <w:p w14:paraId="7B7AB02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значень:</w:t>
      </w:r>
    </w:p>
    <w:p w14:paraId="2CC57C6D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01, 02, 03 – для значень 05, 06 довідника H032;</w:t>
      </w:r>
    </w:p>
    <w:p w14:paraId="2F431F91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04, 05, 06, 07, 08, 09 – для значень 08, 09, 16, 17 довідника H032;</w:t>
      </w:r>
    </w:p>
    <w:p w14:paraId="3D1EB978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10, 12 – для значень 08, 09 довідника H032;</w:t>
      </w:r>
    </w:p>
    <w:p w14:paraId="5EBE087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11 – для значень 05, 06, 08, 09 довідника H032;</w:t>
      </w:r>
    </w:p>
    <w:p w14:paraId="3B58595C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13, 14, 15 – для значень 10, 11 довідника H032;</w:t>
      </w:r>
    </w:p>
    <w:p w14:paraId="4768EFDE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16 – для значення 11 довідника H032;</w:t>
      </w:r>
    </w:p>
    <w:p w14:paraId="1FC70280" w14:textId="77777777" w:rsidR="00AF0A46" w:rsidRP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(= #) – для значень 01, 02, 03, 04, 07, 12, 13, 14, 15, 18, 19 довідника H032;</w:t>
      </w:r>
    </w:p>
    <w:p w14:paraId="346BB912" w14:textId="77777777" w:rsidR="00AF0A46" w:rsidRDefault="00AF0A46" w:rsidP="00AF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(= #) – для значень 09, 16, 17 довідника H032, якщо не можуть бути використані (не застосовуються) інші значення довідника H033.</w:t>
      </w:r>
    </w:p>
    <w:p w14:paraId="32BAD63C" w14:textId="0F045634" w:rsidR="005666BC" w:rsidRPr="00412701" w:rsidRDefault="005666BC" w:rsidP="00AF0A4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D3B909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2604F6" w14:textId="02EC3C1E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«Зобов’язання за наданими гарантіями»</w:t>
      </w:r>
    </w:p>
    <w:p w14:paraId="7A9915A0" w14:textId="6666B6D0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5DDF872C" w14:textId="5F5952C6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за наданими гарантіями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63517A20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за наданими гарантіями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47C700FB" w14:textId="0C649A86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87D717B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F773C6C" w14:textId="05C3416D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C55D2AD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2E7A34A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70367B" w14:textId="3BCAFA68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«Зобов’язання перед кредитними установами (банками)»</w:t>
      </w:r>
    </w:p>
    <w:p w14:paraId="2AE6FC67" w14:textId="20D0CF42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7A6DCE96" w14:textId="00C963EE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перед кредитними установами (банками)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619B4228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перед кредитними установами (банками)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C45E781" w14:textId="32A62885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0CEF3B7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E6881A1" w14:textId="30DF8624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розрахунку технічних резервів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H033), набуває значення відсутності розрізу (= #).</w:t>
      </w:r>
    </w:p>
    <w:p w14:paraId="6A41E8A2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D86854F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B52E92" w14:textId="74F53866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«Векселі видані»</w:t>
      </w:r>
    </w:p>
    <w:p w14:paraId="3DC86F15" w14:textId="1D11B57C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4D5A3C83" w14:textId="490B4773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виданими векселями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19D05D29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виданими векселями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992B320" w14:textId="3D9E5D0A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BEECC89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3296B8D" w14:textId="420CA0A9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770FDA82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63EA8B6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FA1AB2" w14:textId="7E818455" w:rsidR="00FE2CE4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«Фінансові зобов’язання за випущеними борговими цінними паперами»</w:t>
      </w:r>
    </w:p>
    <w:p w14:paraId="26C6D1FA" w14:textId="0267D244" w:rsidR="005666BC" w:rsidRPr="00412701" w:rsidRDefault="005666BC" w:rsidP="00FE2CE4">
      <w:pPr>
        <w:pStyle w:val="1"/>
        <w:spacing w:before="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</w:t>
      </w:r>
      <w:r w:rsidR="00FE2CE4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пис параметрів</w:t>
      </w:r>
      <w:r w:rsidR="00FE2CE4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.</w:t>
      </w:r>
    </w:p>
    <w:p w14:paraId="34722742" w14:textId="50C0E423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 за випущеними борговими цінними паперами на початок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2701">
        <w:t xml:space="preserve"> </w:t>
      </w:r>
    </w:p>
    <w:p w14:paraId="1A58D4BD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369D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 за випущеними борговими цінними паперами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5CE60E41" w14:textId="3D9671F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00BDCB47" w14:textId="15943F9E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2C1958" w14:textId="156F3EE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12D50171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0A4FB12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633C60" w14:textId="51D548E8" w:rsidR="005666BC" w:rsidRPr="00412701" w:rsidRDefault="008369DC" w:rsidP="00512783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512783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Кредиторська заборгованість за операціями страхування та перестрахування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D100D2B" w14:textId="17FEC4C0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330E170" w14:textId="341AB0F0" w:rsidR="00796896" w:rsidRDefault="005666BC" w:rsidP="00FE2CE4">
      <w:pPr>
        <w:spacing w:after="120" w:line="240" w:lineRule="auto"/>
        <w:ind w:firstLine="709"/>
        <w:jc w:val="both"/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кредиторської заборгованості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страхування та перестрахування 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винятком кредиторської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заборгованості, іншої, ніж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7968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30008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  <w:r w:rsidR="00796896" w:rsidRPr="00412701">
        <w:t xml:space="preserve"> </w:t>
      </w:r>
    </w:p>
    <w:p w14:paraId="12C28BFE" w14:textId="0C80FD7D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96896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кредиторської заборгованості</w:t>
      </w:r>
      <w:r w:rsidR="00796896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страхування та перестрахування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винятком кредиторської заборгованості, іншої, ніж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796896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7968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30008</w:t>
      </w:r>
      <w:r w:rsidR="0079689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96896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кінець звітного періоду.</w:t>
      </w:r>
    </w:p>
    <w:p w14:paraId="1B74B6AE" w14:textId="1458C955" w:rsidR="00D85379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14582388" w14:textId="7D009C2F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457CCEF" w14:textId="3BFF56C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075DACF7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49F29DB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157760" w14:textId="5F41A282" w:rsidR="005666BC" w:rsidRPr="00296A1B" w:rsidRDefault="008369DC" w:rsidP="00512783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08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12783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Кредиторська заборгованість, інша, ніж кредиторська заборгованість за операціями страхування та перестрахування</w:t>
      </w:r>
      <w:r w:rsidR="005666BC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79155ED" w14:textId="052A9433" w:rsidR="005666BC" w:rsidRPr="00412701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3D9A137B" w14:textId="095FE6EB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кредиторської заборгованості, іншої, ніж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початок звітного періоду.</w:t>
      </w:r>
    </w:p>
    <w:p w14:paraId="5AEA19DE" w14:textId="3ED36228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кредиторської заборгованості, іншої, ніж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кредиторська заборгованість</w:t>
      </w:r>
      <w:r w:rsidR="00D85379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страхування та перестрахування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1EF3EBA" w14:textId="372A97D5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40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D85379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324640AF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4C2C4E9E" w14:textId="2A505B5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5AD0E375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97F9FB1" w14:textId="77777777" w:rsidR="005666BC" w:rsidRPr="00412701" w:rsidRDefault="005666BC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1E36A0" w14:textId="0B4F4D63" w:rsidR="005666BC" w:rsidRPr="00412701" w:rsidRDefault="008369DC" w:rsidP="006F5250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 w:rsidR="005666BC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забезпечення та зобов’язання»</w:t>
      </w:r>
    </w:p>
    <w:p w14:paraId="72224C1F" w14:textId="1BEB2D6B" w:rsidR="005666BC" w:rsidRPr="00FB4ED3" w:rsidRDefault="00FE2CE4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FB4E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CEE3462" w14:textId="3DE831AA" w:rsidR="008E651B" w:rsidRPr="00A16723" w:rsidRDefault="005666BC" w:rsidP="008E651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забезпечень та зобов’язань, що не увійшли до показників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IRB30001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IRB30008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але відображені у Звіті про фінансовий стан, складеному відповідно до вимог міжнародних стандартів </w:t>
      </w:r>
      <w:r w:rsidR="00D85379" w:rsidRPr="00FB4ED3">
        <w:rPr>
          <w:rFonts w:ascii="Times New Roman" w:hAnsi="Times New Roman" w:cs="Times New Roman"/>
          <w:sz w:val="28"/>
          <w:szCs w:val="28"/>
        </w:rPr>
        <w:lastRenderedPageBreak/>
        <w:t>фінансової звітності,</w:t>
      </w:r>
      <w:r w:rsidR="00D85379" w:rsidRPr="00A1672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  <w:r w:rsidR="00D85379" w:rsidRPr="00A16723">
        <w:t xml:space="preserve">  </w:t>
      </w:r>
      <w:r w:rsidR="00D85379" w:rsidRPr="00FB4ED3">
        <w:rPr>
          <w:rFonts w:ascii="Times New Roman" w:hAnsi="Times New Roman" w:cs="Times New Roman"/>
          <w:sz w:val="28"/>
          <w:szCs w:val="28"/>
        </w:rPr>
        <w:t>Забезпечення та зобов’язання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85379">
        <w:rPr>
          <w:rFonts w:ascii="Times New Roman" w:hAnsi="Times New Roman" w:cs="Times New Roman"/>
          <w:sz w:val="28"/>
          <w:szCs w:val="28"/>
        </w:rPr>
        <w:t>міжнародного стандарту фінансової звітності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17 «Страхові контракти», визнані у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в даний показник не включаються.</w:t>
      </w:r>
    </w:p>
    <w:p w14:paraId="73F17D24" w14:textId="717C3239" w:rsidR="00D85379" w:rsidRPr="00412701" w:rsidRDefault="005666BC" w:rsidP="00D8537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E546C"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інших забезпечень та зобов’язань,</w:t>
      </w:r>
      <w:r w:rsidR="00D85379" w:rsidRPr="00A167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не увійшли до показників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IRB30001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IRB30008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85379" w:rsidRPr="00FB4ED3">
        <w:rPr>
          <w:rFonts w:ascii="Times New Roman" w:hAnsi="Times New Roman" w:cs="Times New Roman"/>
          <w:sz w:val="28"/>
          <w:szCs w:val="28"/>
        </w:rPr>
        <w:t>але відображені у Звіті про фінансовий стан, складеному відповідно до вимог міжнародних стандартів фінансової звітності</w:t>
      </w:r>
      <w:r w:rsidR="00D85379" w:rsidRPr="00A16723">
        <w:rPr>
          <w:rFonts w:ascii="Times New Roman" w:hAnsi="Times New Roman" w:cs="Times New Roman"/>
          <w:sz w:val="28"/>
          <w:szCs w:val="28"/>
        </w:rPr>
        <w:t>,</w:t>
      </w:r>
      <w:r w:rsidR="00D85379" w:rsidRPr="00A16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>Забезпечення та зобов’язання</w:t>
      </w:r>
      <w:r w:rsidR="00D85379" w:rsidRPr="00EB5693">
        <w:rPr>
          <w:rFonts w:ascii="Times New Roman" w:hAnsi="Times New Roman" w:cs="Times New Roman"/>
          <w:sz w:val="28"/>
          <w:szCs w:val="28"/>
        </w:rPr>
        <w:t xml:space="preserve"> 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85379">
        <w:rPr>
          <w:rFonts w:ascii="Times New Roman" w:hAnsi="Times New Roman" w:cs="Times New Roman"/>
          <w:sz w:val="28"/>
          <w:szCs w:val="28"/>
        </w:rPr>
        <w:t>міжнародного стандарту фінансової звітності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17 «Страхові контракти», визнані у </w:t>
      </w:r>
      <w:r w:rsidR="00D85379" w:rsidRPr="00FB4ED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D853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85379" w:rsidRPr="00FB4ED3">
        <w:rPr>
          <w:rFonts w:ascii="Times New Roman" w:hAnsi="Times New Roman" w:cs="Times New Roman"/>
          <w:sz w:val="28"/>
          <w:szCs w:val="28"/>
        </w:rPr>
        <w:t xml:space="preserve"> в даний показник не включаються.</w:t>
      </w:r>
    </w:p>
    <w:p w14:paraId="7AF016E5" w14:textId="2444E6FB" w:rsidR="005666BC" w:rsidRPr="00412701" w:rsidRDefault="006840B0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2C5875" w:rsidRPr="002C5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5666BC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5666BC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67AB4AE5" w14:textId="77777777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1652F33" w14:textId="1D1AA084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11D0829C" w14:textId="7100E91A" w:rsidR="005666BC" w:rsidRPr="00412701" w:rsidRDefault="005666BC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AFB8062" w14:textId="2D7905D8" w:rsidR="003653AB" w:rsidRPr="00412701" w:rsidRDefault="003653AB" w:rsidP="00566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F088D7" w14:textId="13666270" w:rsidR="003653AB" w:rsidRPr="00412701" w:rsidRDefault="003653AB" w:rsidP="00296A1B">
      <w:pPr>
        <w:pStyle w:val="1"/>
        <w:numPr>
          <w:ilvl w:val="0"/>
          <w:numId w:val="3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IRB3001</w:t>
      </w:r>
      <w:r w:rsidR="00511F8E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296A1B" w:rsidRPr="00296A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Забезпечення та зобов’язання</w:t>
      </w:r>
      <w:r w:rsidR="00686262"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усього</w:t>
      </w:r>
      <w:r w:rsidRPr="0041270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EBEA913" w14:textId="14C29B0F" w:rsidR="003653AB" w:rsidRPr="00412701" w:rsidRDefault="003653AB" w:rsidP="00FE2C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FE2CE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="00FE2CE4" w:rsidRPr="004127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3369193E" w14:textId="3B8FDC2E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забезпечень та зобов’язань на початок звітного періоду.</w:t>
      </w:r>
      <w:r w:rsidRPr="00412701"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30001</w:t>
      </w:r>
      <w:r w:rsidR="00977D7C" w:rsidRPr="00977D7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1FA231B" w14:textId="7AED8B65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забезпечень та зобов’язань на кінець звітного періоду.</w:t>
      </w:r>
      <w:r w:rsidRPr="00412701"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30001</w:t>
      </w:r>
      <w:r w:rsidR="00977D7C" w:rsidRPr="00977D7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300</w:t>
      </w:r>
      <w:r w:rsidR="00511F8E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421BCDE" w14:textId="4D237191" w:rsidR="003653AB" w:rsidRPr="00412701" w:rsidRDefault="006840B0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2C5875" w:rsidRPr="002C5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3653AB"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="003653AB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D57665E" w14:textId="77777777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FEF633" w14:textId="35F1B940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H033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r w:rsidR="00C579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методу розрахунку технічних резервів 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H033), набуває значення відсутності розрізу (= #).</w:t>
      </w:r>
    </w:p>
    <w:p w14:paraId="2C37B209" w14:textId="77777777" w:rsidR="003653AB" w:rsidRPr="00412701" w:rsidRDefault="003653AB" w:rsidP="00FE2CE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27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072F4E4D" w14:textId="0609959C" w:rsidR="00106283" w:rsidRPr="00412701" w:rsidRDefault="00106283"/>
    <w:sectPr w:rsidR="00106283" w:rsidRPr="00412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881F51"/>
    <w:multiLevelType w:val="hybridMultilevel"/>
    <w:tmpl w:val="F32A149E"/>
    <w:lvl w:ilvl="0" w:tplc="BA8C20A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37EFF"/>
    <w:multiLevelType w:val="hybridMultilevel"/>
    <w:tmpl w:val="08028D16"/>
    <w:lvl w:ilvl="0" w:tplc="087AAA20">
      <w:start w:val="1"/>
      <w:numFmt w:val="decimal"/>
      <w:lvlText w:val="%1."/>
      <w:lvlJc w:val="center"/>
      <w:pPr>
        <w:ind w:left="3196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4B08CA"/>
    <w:multiLevelType w:val="hybridMultilevel"/>
    <w:tmpl w:val="9B0820D2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8C"/>
    <w:rsid w:val="00106283"/>
    <w:rsid w:val="00121D9E"/>
    <w:rsid w:val="00167AF7"/>
    <w:rsid w:val="00204FFF"/>
    <w:rsid w:val="00296A1B"/>
    <w:rsid w:val="002C5875"/>
    <w:rsid w:val="00313654"/>
    <w:rsid w:val="003327AB"/>
    <w:rsid w:val="003653AB"/>
    <w:rsid w:val="00412701"/>
    <w:rsid w:val="004955BC"/>
    <w:rsid w:val="004E6952"/>
    <w:rsid w:val="00511F8E"/>
    <w:rsid w:val="00512783"/>
    <w:rsid w:val="00531721"/>
    <w:rsid w:val="0053768A"/>
    <w:rsid w:val="005666BC"/>
    <w:rsid w:val="0057360D"/>
    <w:rsid w:val="006036D3"/>
    <w:rsid w:val="00660A7D"/>
    <w:rsid w:val="006703FC"/>
    <w:rsid w:val="006840B0"/>
    <w:rsid w:val="0068431A"/>
    <w:rsid w:val="00686262"/>
    <w:rsid w:val="00690481"/>
    <w:rsid w:val="006E546C"/>
    <w:rsid w:val="006F5250"/>
    <w:rsid w:val="006F65B6"/>
    <w:rsid w:val="00711209"/>
    <w:rsid w:val="0075578C"/>
    <w:rsid w:val="007564E5"/>
    <w:rsid w:val="00796896"/>
    <w:rsid w:val="007E4146"/>
    <w:rsid w:val="008369DC"/>
    <w:rsid w:val="00870FFC"/>
    <w:rsid w:val="00875FD9"/>
    <w:rsid w:val="0088677F"/>
    <w:rsid w:val="008E651B"/>
    <w:rsid w:val="00910270"/>
    <w:rsid w:val="00977D7C"/>
    <w:rsid w:val="00A16723"/>
    <w:rsid w:val="00A61912"/>
    <w:rsid w:val="00A747A3"/>
    <w:rsid w:val="00AC6BEE"/>
    <w:rsid w:val="00AF0A46"/>
    <w:rsid w:val="00B975E8"/>
    <w:rsid w:val="00BF40AF"/>
    <w:rsid w:val="00BF72CD"/>
    <w:rsid w:val="00C13A03"/>
    <w:rsid w:val="00C45CD7"/>
    <w:rsid w:val="00C57930"/>
    <w:rsid w:val="00CB33E3"/>
    <w:rsid w:val="00D85379"/>
    <w:rsid w:val="00EA6948"/>
    <w:rsid w:val="00F226A4"/>
    <w:rsid w:val="00F95283"/>
    <w:rsid w:val="00FB4ED3"/>
    <w:rsid w:val="00FE2CE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9B29"/>
  <w15:chartTrackingRefBased/>
  <w15:docId w15:val="{E1934972-7F81-483B-91A1-7FECA61B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6BC"/>
  </w:style>
  <w:style w:type="paragraph" w:styleId="1">
    <w:name w:val="heading 1"/>
    <w:basedOn w:val="a"/>
    <w:next w:val="a"/>
    <w:link w:val="10"/>
    <w:uiPriority w:val="9"/>
    <w:qFormat/>
    <w:rsid w:val="00566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6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0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36D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036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036D3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036D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036D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036D3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3327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0D90-764A-4CF4-9C23-618D1489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7917</Words>
  <Characters>4514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22</cp:revision>
  <dcterms:created xsi:type="dcterms:W3CDTF">2023-03-10T09:43:00Z</dcterms:created>
  <dcterms:modified xsi:type="dcterms:W3CDTF">2024-05-13T13:13:00Z</dcterms:modified>
</cp:coreProperties>
</file>